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C75F" w14:textId="77777777" w:rsidR="002D1F38" w:rsidRDefault="002D1F38" w:rsidP="00F05E5E">
      <w:pPr>
        <w:rPr>
          <w:lang w:val="fr-BE"/>
        </w:rPr>
      </w:pPr>
    </w:p>
    <w:tbl>
      <w:tblPr>
        <w:tblW w:w="9469" w:type="dxa"/>
        <w:tblLayout w:type="fixed"/>
        <w:tblCellMar>
          <w:left w:w="0" w:type="dxa"/>
          <w:right w:w="0" w:type="dxa"/>
        </w:tblCellMar>
        <w:tblLook w:val="0000" w:firstRow="0" w:lastRow="0" w:firstColumn="0" w:lastColumn="0" w:noHBand="0" w:noVBand="0"/>
      </w:tblPr>
      <w:tblGrid>
        <w:gridCol w:w="5103"/>
        <w:gridCol w:w="4366"/>
      </w:tblGrid>
      <w:tr w:rsidR="00D26FA1" w:rsidRPr="00724BBC" w14:paraId="58443BD5" w14:textId="77777777" w:rsidTr="00D26FA1">
        <w:trPr>
          <w:trHeight w:val="1440"/>
        </w:trPr>
        <w:tc>
          <w:tcPr>
            <w:tcW w:w="5103" w:type="dxa"/>
            <w:tcBorders>
              <w:top w:val="nil"/>
              <w:left w:val="nil"/>
              <w:bottom w:val="nil"/>
              <w:right w:val="nil"/>
            </w:tcBorders>
          </w:tcPr>
          <w:p w14:paraId="6EEF797A" w14:textId="77777777" w:rsidR="00D26FA1" w:rsidRPr="00724BBC" w:rsidRDefault="002D1F38" w:rsidP="00843627">
            <w:r>
              <w:rPr>
                <w:lang w:val="fr-BE"/>
              </w:rPr>
              <w:br w:type="page"/>
            </w:r>
            <w:r w:rsidR="00D26FA1">
              <w:rPr>
                <w:noProof/>
                <w:sz w:val="20"/>
              </w:rPr>
              <w:drawing>
                <wp:inline distT="0" distB="0" distL="0" distR="0" wp14:anchorId="7C838E48" wp14:editId="5DF64A7A">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14:paraId="741421B9" w14:textId="77777777" w:rsidR="00D26FA1" w:rsidRDefault="00D26FA1" w:rsidP="00843627">
            <w:pPr>
              <w:pStyle w:val="ZCom"/>
              <w:rPr>
                <w:b/>
                <w:color w:val="233E90"/>
              </w:rPr>
            </w:pPr>
          </w:p>
          <w:p w14:paraId="435E9F55" w14:textId="77777777" w:rsidR="00D26FA1" w:rsidRPr="00FB53A3" w:rsidRDefault="00D26FA1" w:rsidP="00843627">
            <w:pPr>
              <w:pStyle w:val="ZCom"/>
              <w:rPr>
                <w:b/>
                <w:color w:val="233E90"/>
              </w:rPr>
            </w:pPr>
            <w:r w:rsidRPr="00FB53A3">
              <w:rPr>
                <w:b/>
                <w:color w:val="233E90"/>
              </w:rPr>
              <w:t xml:space="preserve">Schola </w:t>
            </w:r>
            <w:proofErr w:type="spellStart"/>
            <w:r w:rsidRPr="00FB53A3">
              <w:rPr>
                <w:b/>
                <w:color w:val="233E90"/>
              </w:rPr>
              <w:t>Europaea</w:t>
            </w:r>
            <w:proofErr w:type="spellEnd"/>
          </w:p>
          <w:p w14:paraId="201353BA" w14:textId="77777777" w:rsidR="00D26FA1" w:rsidRPr="00D26FA1" w:rsidRDefault="00D26FA1" w:rsidP="00843627">
            <w:pPr>
              <w:rPr>
                <w:color w:val="233E90"/>
                <w:lang w:val="fr-BE"/>
              </w:rPr>
            </w:pPr>
          </w:p>
          <w:p w14:paraId="207FC3DD" w14:textId="77777777" w:rsidR="00D26FA1" w:rsidRPr="008E11F8" w:rsidRDefault="00D26FA1" w:rsidP="00843627">
            <w:pPr>
              <w:pStyle w:val="ZDGName"/>
              <w:rPr>
                <w:color w:val="233E90"/>
              </w:rPr>
            </w:pPr>
            <w:r w:rsidRPr="008E11F8">
              <w:rPr>
                <w:color w:val="233E90"/>
              </w:rPr>
              <w:t xml:space="preserve">Bureau du Secrétaire général </w:t>
            </w:r>
          </w:p>
          <w:p w14:paraId="6089BF16" w14:textId="77777777" w:rsidR="00D26FA1" w:rsidRPr="008E11F8" w:rsidRDefault="00D26FA1" w:rsidP="00843627">
            <w:pPr>
              <w:pStyle w:val="ZDGName"/>
              <w:rPr>
                <w:color w:val="233E90"/>
              </w:rPr>
            </w:pPr>
          </w:p>
          <w:p w14:paraId="1F74ABFA" w14:textId="77777777" w:rsidR="00D26FA1" w:rsidRPr="00724BBC" w:rsidRDefault="00111431" w:rsidP="00843627">
            <w:pPr>
              <w:pStyle w:val="ZDGName"/>
            </w:pPr>
            <w:r>
              <w:rPr>
                <w:color w:val="233E90"/>
              </w:rPr>
              <w:t>Unité comptabilité</w:t>
            </w:r>
          </w:p>
          <w:p w14:paraId="59F64865" w14:textId="77777777" w:rsidR="00D26FA1" w:rsidRPr="00724BBC" w:rsidRDefault="00D26FA1" w:rsidP="00843627">
            <w:pPr>
              <w:pStyle w:val="ZDGName"/>
              <w:widowControl/>
            </w:pPr>
          </w:p>
        </w:tc>
      </w:tr>
    </w:tbl>
    <w:p w14:paraId="4CB83EDB" w14:textId="4BCE8923" w:rsidR="00D26FA1" w:rsidRPr="00A868FB" w:rsidRDefault="00406D2E" w:rsidP="00D26FA1">
      <w:pPr>
        <w:pStyle w:val="References"/>
        <w:rPr>
          <w:rFonts w:cs="Arial"/>
        </w:rPr>
      </w:pPr>
      <w:r>
        <w:rPr>
          <w:rFonts w:cs="Arial"/>
        </w:rPr>
        <w:t>Réf. : 2017-03-</w:t>
      </w:r>
      <w:r w:rsidR="00150DCF">
        <w:rPr>
          <w:rFonts w:cs="Arial"/>
        </w:rPr>
        <w:t>D-</w:t>
      </w:r>
      <w:r w:rsidR="0047714D">
        <w:rPr>
          <w:rFonts w:cs="Arial"/>
        </w:rPr>
        <w:t>29</w:t>
      </w:r>
      <w:r w:rsidR="00DC31C8">
        <w:rPr>
          <w:rFonts w:cs="Arial"/>
        </w:rPr>
        <w:t>-fr-2</w:t>
      </w:r>
    </w:p>
    <w:p w14:paraId="535047A7" w14:textId="77777777" w:rsidR="00D26FA1" w:rsidRPr="00A868FB" w:rsidRDefault="00D26FA1" w:rsidP="00D26FA1">
      <w:pPr>
        <w:pStyle w:val="References"/>
        <w:rPr>
          <w:rFonts w:cs="Arial"/>
        </w:rPr>
      </w:pPr>
      <w:proofErr w:type="spellStart"/>
      <w:r w:rsidRPr="00A868FB">
        <w:rPr>
          <w:rFonts w:cs="Arial"/>
        </w:rPr>
        <w:t>Orig</w:t>
      </w:r>
      <w:proofErr w:type="spellEnd"/>
      <w:r w:rsidRPr="00A868FB">
        <w:rPr>
          <w:rFonts w:cs="Arial"/>
        </w:rPr>
        <w:t>. : FR</w:t>
      </w:r>
    </w:p>
    <w:p w14:paraId="49D9A151" w14:textId="7777E37F" w:rsidR="00D94E2D" w:rsidRPr="00A868FB" w:rsidRDefault="00807C94" w:rsidP="00D26FA1">
      <w:pPr>
        <w:pStyle w:val="DocumentTitle"/>
        <w:pBdr>
          <w:bottom w:val="single" w:sz="4" w:space="0" w:color="auto"/>
        </w:pBdr>
        <w:jc w:val="both"/>
        <w:rPr>
          <w:rFonts w:cs="Arial"/>
        </w:rPr>
      </w:pPr>
      <w:r>
        <w:rPr>
          <w:rFonts w:cs="Arial"/>
        </w:rPr>
        <w:t xml:space="preserve">Décisions </w:t>
      </w:r>
      <w:r w:rsidR="008F34CC">
        <w:rPr>
          <w:rFonts w:cs="Arial"/>
        </w:rPr>
        <w:t>du Comité budgétaire</w:t>
      </w:r>
      <w:r w:rsidR="00DC31C8">
        <w:rPr>
          <w:rFonts w:cs="Arial"/>
        </w:rPr>
        <w:t xml:space="preserve"> des 07 et 08 mars 2017 à Bruxelles</w:t>
      </w:r>
    </w:p>
    <w:p w14:paraId="3D0E7D7D" w14:textId="72D013CB" w:rsidR="00D26FA1" w:rsidRPr="00A868FB" w:rsidRDefault="00DC31C8" w:rsidP="00D26FA1">
      <w:pPr>
        <w:pStyle w:val="SubTitle1"/>
        <w:rPr>
          <w:rFonts w:cs="Arial"/>
        </w:rPr>
      </w:pPr>
      <w:r>
        <w:rPr>
          <w:rFonts w:cs="Arial"/>
        </w:rPr>
        <w:t>Approuvé par procédure écrite 2017/20</w:t>
      </w:r>
      <w:bookmarkStart w:id="0" w:name="_GoBack"/>
      <w:bookmarkEnd w:id="0"/>
    </w:p>
    <w:p w14:paraId="692BD4D2" w14:textId="36982324" w:rsidR="00F21134" w:rsidRDefault="00D26FA1" w:rsidP="002F563C">
      <w:pPr>
        <w:rPr>
          <w:rFonts w:ascii="Arial" w:hAnsi="Arial" w:cs="Arial"/>
          <w:lang w:val="fr-BE"/>
        </w:rPr>
      </w:pPr>
      <w:r w:rsidRPr="00A868FB">
        <w:rPr>
          <w:rFonts w:ascii="Arial" w:hAnsi="Arial" w:cs="Arial"/>
          <w:lang w:val="fr-BE"/>
        </w:rPr>
        <w:br w:type="page"/>
      </w:r>
    </w:p>
    <w:p w14:paraId="35DD5027" w14:textId="77777777" w:rsidR="00560791" w:rsidRDefault="00560791" w:rsidP="00560791">
      <w:pPr>
        <w:pStyle w:val="ListParagraph"/>
        <w:rPr>
          <w:rFonts w:ascii="Arial" w:hAnsi="Arial" w:cs="Arial"/>
          <w:lang w:val="fr-BE"/>
        </w:rPr>
      </w:pPr>
    </w:p>
    <w:p w14:paraId="0658C336" w14:textId="77777777" w:rsidR="00E47FD6" w:rsidRPr="00A868FB" w:rsidRDefault="00E47FD6" w:rsidP="00E47FD6">
      <w:pPr>
        <w:pStyle w:val="ListParagraph"/>
        <w:rPr>
          <w:rFonts w:ascii="Arial" w:hAnsi="Arial" w:cs="Arial"/>
          <w:lang w:val="fr-BE"/>
        </w:rPr>
      </w:pPr>
    </w:p>
    <w:p w14:paraId="16459655" w14:textId="77777777" w:rsidR="002D1F38" w:rsidRPr="00A868FB" w:rsidRDefault="00560791" w:rsidP="002D1F38">
      <w:pPr>
        <w:pStyle w:val="ListParagraph"/>
        <w:ind w:left="0"/>
        <w:rPr>
          <w:rFonts w:ascii="Arial" w:hAnsi="Arial" w:cs="Arial"/>
          <w:b/>
          <w:u w:val="single"/>
          <w:lang w:val="fr-BE"/>
        </w:rPr>
      </w:pPr>
      <w:r>
        <w:rPr>
          <w:rFonts w:ascii="Arial" w:hAnsi="Arial" w:cs="Arial"/>
          <w:b/>
          <w:u w:val="single"/>
          <w:lang w:val="fr-BE"/>
        </w:rPr>
        <w:t>III.POINTS/DECISIONS</w:t>
      </w:r>
    </w:p>
    <w:p w14:paraId="06A4F8B3" w14:textId="77777777" w:rsidR="002D1F38" w:rsidRPr="00A868FB" w:rsidRDefault="002D1F38" w:rsidP="002D1F38">
      <w:pPr>
        <w:pStyle w:val="ListParagraph"/>
        <w:rPr>
          <w:rFonts w:ascii="Arial" w:hAnsi="Arial" w:cs="Arial"/>
          <w:lang w:val="fr-BE"/>
        </w:rPr>
      </w:pPr>
    </w:p>
    <w:p w14:paraId="01E598E3" w14:textId="77777777" w:rsidR="002D1F38" w:rsidRPr="00182053" w:rsidRDefault="00560791" w:rsidP="005A4FBF">
      <w:pPr>
        <w:pStyle w:val="ListParagraph"/>
        <w:numPr>
          <w:ilvl w:val="0"/>
          <w:numId w:val="13"/>
        </w:numPr>
        <w:ind w:left="709"/>
        <w:rPr>
          <w:rFonts w:ascii="Arial" w:hAnsi="Arial" w:cs="Arial"/>
          <w:b/>
          <w:u w:val="single"/>
          <w:lang w:val="fr-BE"/>
        </w:rPr>
      </w:pPr>
      <w:r w:rsidRPr="00182053">
        <w:rPr>
          <w:rFonts w:ascii="Arial" w:hAnsi="Arial" w:cs="Arial"/>
          <w:b/>
          <w:u w:val="single"/>
          <w:lang w:val="fr-BE"/>
        </w:rPr>
        <w:t xml:space="preserve">Proposition d’un cadre organisationnel pour le Festival des Arts des Ecoles européennes </w:t>
      </w:r>
      <w:r w:rsidRPr="00182053">
        <w:rPr>
          <w:rFonts w:ascii="Arial" w:hAnsi="Arial" w:cs="Arial"/>
          <w:b/>
          <w:i/>
          <w:u w:val="single"/>
          <w:lang w:val="fr-BE"/>
        </w:rPr>
        <w:t>(2017-01-D-54-en-2)</w:t>
      </w:r>
    </w:p>
    <w:p w14:paraId="6026F63C" w14:textId="77777777" w:rsidR="002D1F38" w:rsidRPr="00A868FB" w:rsidRDefault="002D1F38" w:rsidP="002D1F38">
      <w:pPr>
        <w:pStyle w:val="ListParagraph"/>
        <w:ind w:left="1080"/>
        <w:rPr>
          <w:rFonts w:ascii="Arial" w:hAnsi="Arial" w:cs="Arial"/>
          <w:lang w:val="fr-BE"/>
        </w:rPr>
      </w:pPr>
    </w:p>
    <w:p w14:paraId="447FD0F5" w14:textId="77777777" w:rsidR="00480761" w:rsidRDefault="00480761" w:rsidP="00480761">
      <w:pPr>
        <w:pStyle w:val="ListParagraph"/>
        <w:ind w:left="709"/>
        <w:rPr>
          <w:rFonts w:ascii="Arial" w:hAnsi="Arial" w:cs="Arial"/>
          <w:lang w:val="fr-BE"/>
        </w:rPr>
      </w:pPr>
    </w:p>
    <w:p w14:paraId="76801560" w14:textId="62C9975E" w:rsidR="00480761" w:rsidRPr="002F563C" w:rsidRDefault="00480761" w:rsidP="00480761">
      <w:pPr>
        <w:pStyle w:val="ListParagraph"/>
        <w:ind w:left="709"/>
        <w:rPr>
          <w:rFonts w:ascii="Arial" w:hAnsi="Arial" w:cs="Arial"/>
          <w:bCs/>
          <w:lang w:val="fr-BE"/>
        </w:rPr>
      </w:pPr>
      <w:r w:rsidRPr="002F563C">
        <w:rPr>
          <w:rFonts w:ascii="Arial" w:hAnsi="Arial" w:cs="Arial"/>
          <w:bCs/>
          <w:lang w:val="fr-BE"/>
        </w:rPr>
        <w:t xml:space="preserve">Suite à la réception en séance d’une fiche financière plus détaillée, le Comité budgétaire a adopté la proposition d’un cadre organisationnel pour le Festival des Arts </w:t>
      </w:r>
      <w:r w:rsidR="0032311C">
        <w:rPr>
          <w:rFonts w:ascii="Arial" w:hAnsi="Arial" w:cs="Arial"/>
          <w:bCs/>
          <w:lang w:val="fr-BE"/>
        </w:rPr>
        <w:t xml:space="preserve">et de Musique </w:t>
      </w:r>
      <w:r w:rsidRPr="002F563C">
        <w:rPr>
          <w:rFonts w:ascii="Arial" w:hAnsi="Arial" w:cs="Arial"/>
          <w:bCs/>
          <w:lang w:val="fr-BE"/>
        </w:rPr>
        <w:t xml:space="preserve">des Ecoles européennes (FAMEE) avec entrée en vigueur au printemps 2018. </w:t>
      </w:r>
      <w:r w:rsidR="003C19F6" w:rsidRPr="002F563C">
        <w:rPr>
          <w:rFonts w:ascii="Arial" w:hAnsi="Arial" w:cs="Arial"/>
          <w:bCs/>
          <w:lang w:val="fr-BE"/>
        </w:rPr>
        <w:t xml:space="preserve">Le Budget y </w:t>
      </w:r>
      <w:r w:rsidR="00F21134" w:rsidRPr="002F563C">
        <w:rPr>
          <w:rFonts w:ascii="Arial" w:hAnsi="Arial" w:cs="Arial"/>
          <w:bCs/>
          <w:lang w:val="fr-BE"/>
        </w:rPr>
        <w:t>afférant</w:t>
      </w:r>
      <w:r w:rsidR="003C19F6" w:rsidRPr="002F563C">
        <w:rPr>
          <w:rFonts w:ascii="Arial" w:hAnsi="Arial" w:cs="Arial"/>
          <w:bCs/>
          <w:lang w:val="fr-BE"/>
        </w:rPr>
        <w:t xml:space="preserve"> (18 000 EURO) devra </w:t>
      </w:r>
      <w:r w:rsidR="00F21134" w:rsidRPr="002F563C">
        <w:rPr>
          <w:rFonts w:ascii="Arial" w:hAnsi="Arial" w:cs="Arial"/>
          <w:bCs/>
          <w:lang w:val="fr-BE"/>
        </w:rPr>
        <w:t>être</w:t>
      </w:r>
      <w:r w:rsidR="003C19F6" w:rsidRPr="002F563C">
        <w:rPr>
          <w:rFonts w:ascii="Arial" w:hAnsi="Arial" w:cs="Arial"/>
          <w:bCs/>
          <w:lang w:val="fr-BE"/>
        </w:rPr>
        <w:t xml:space="preserve"> ajouté </w:t>
      </w:r>
      <w:r w:rsidR="00F21134" w:rsidRPr="002F563C">
        <w:rPr>
          <w:rFonts w:ascii="Arial" w:hAnsi="Arial" w:cs="Arial"/>
          <w:bCs/>
          <w:lang w:val="fr-BE"/>
        </w:rPr>
        <w:t>à</w:t>
      </w:r>
      <w:r w:rsidR="003C19F6" w:rsidRPr="002F563C">
        <w:rPr>
          <w:rFonts w:ascii="Arial" w:hAnsi="Arial" w:cs="Arial"/>
          <w:bCs/>
          <w:lang w:val="fr-BE"/>
        </w:rPr>
        <w:t xml:space="preserve"> l’</w:t>
      </w:r>
      <w:r w:rsidR="00F21134" w:rsidRPr="002F563C">
        <w:rPr>
          <w:rFonts w:ascii="Arial" w:hAnsi="Arial" w:cs="Arial"/>
          <w:bCs/>
          <w:lang w:val="fr-BE"/>
        </w:rPr>
        <w:t>avant-projet</w:t>
      </w:r>
      <w:r w:rsidR="003C19F6" w:rsidRPr="002F563C">
        <w:rPr>
          <w:rFonts w:ascii="Arial" w:hAnsi="Arial" w:cs="Arial"/>
          <w:bCs/>
          <w:lang w:val="fr-BE"/>
        </w:rPr>
        <w:t xml:space="preserve"> de Budget de l</w:t>
      </w:r>
      <w:r w:rsidR="00F21134" w:rsidRPr="002F563C">
        <w:rPr>
          <w:rFonts w:ascii="Arial" w:hAnsi="Arial" w:cs="Arial"/>
          <w:bCs/>
          <w:lang w:val="fr-BE"/>
        </w:rPr>
        <w:t>’E</w:t>
      </w:r>
      <w:r w:rsidR="003C19F6" w:rsidRPr="002F563C">
        <w:rPr>
          <w:rFonts w:ascii="Arial" w:hAnsi="Arial" w:cs="Arial"/>
          <w:bCs/>
          <w:lang w:val="fr-BE"/>
        </w:rPr>
        <w:t xml:space="preserve">cole de Frankfurt pour 2018. </w:t>
      </w:r>
      <w:r w:rsidRPr="002F563C">
        <w:rPr>
          <w:rFonts w:ascii="Arial" w:hAnsi="Arial" w:cs="Arial"/>
          <w:bCs/>
          <w:lang w:val="fr-BE"/>
        </w:rPr>
        <w:t xml:space="preserve">Le Comité budgétaire donne également mandat </w:t>
      </w:r>
      <w:r w:rsidRPr="002F563C">
        <w:rPr>
          <w:rFonts w:ascii="Arial" w:hAnsi="Arial" w:cs="Arial"/>
          <w:bCs/>
          <w:lang w:val="fr-FR"/>
        </w:rPr>
        <w:t>au groupe de travail permanent de se charger de l'organisation du FAMEE à long terme</w:t>
      </w:r>
      <w:r w:rsidRPr="002F563C">
        <w:rPr>
          <w:rFonts w:ascii="Arial" w:hAnsi="Arial" w:cs="Arial"/>
          <w:lang w:val="fr-FR"/>
        </w:rPr>
        <w:t xml:space="preserve"> </w:t>
      </w:r>
      <w:r w:rsidRPr="002F563C">
        <w:rPr>
          <w:rFonts w:ascii="Arial" w:hAnsi="Arial" w:cs="Arial"/>
          <w:bCs/>
          <w:lang w:val="fr-FR"/>
        </w:rPr>
        <w:t xml:space="preserve">et d’élaborer une proposition ainsi qu'un planning concrets et détaillés de l’évènement. </w:t>
      </w:r>
      <w:r w:rsidRPr="002F563C">
        <w:rPr>
          <w:rFonts w:ascii="Arial" w:hAnsi="Arial" w:cs="Arial"/>
          <w:bCs/>
          <w:lang w:val="fr-BE"/>
        </w:rPr>
        <w:t>Le document accompagné d’une nouvelle fiche financière sera transmis au Conseil supérieur pour son information.</w:t>
      </w:r>
    </w:p>
    <w:p w14:paraId="2AC103EE" w14:textId="77777777" w:rsidR="002431C5" w:rsidRDefault="002431C5" w:rsidP="00480761">
      <w:pPr>
        <w:pStyle w:val="ListParagraph"/>
        <w:ind w:left="709"/>
        <w:rPr>
          <w:rFonts w:ascii="Arial" w:hAnsi="Arial" w:cs="Arial"/>
          <w:b/>
          <w:bCs/>
          <w:lang w:val="fr-BE"/>
        </w:rPr>
      </w:pPr>
    </w:p>
    <w:p w14:paraId="49C08545" w14:textId="77777777" w:rsidR="008F697F" w:rsidRPr="00182053" w:rsidRDefault="002254F9" w:rsidP="002254F9">
      <w:pPr>
        <w:pStyle w:val="ListParagraph"/>
        <w:numPr>
          <w:ilvl w:val="0"/>
          <w:numId w:val="13"/>
        </w:numPr>
        <w:ind w:left="709"/>
        <w:rPr>
          <w:rFonts w:ascii="Arial" w:hAnsi="Arial" w:cs="Arial"/>
          <w:b/>
          <w:u w:val="single"/>
          <w:lang w:val="fr-BE"/>
        </w:rPr>
      </w:pPr>
      <w:r w:rsidRPr="00182053">
        <w:rPr>
          <w:rFonts w:ascii="Arial" w:hAnsi="Arial" w:cs="Arial"/>
          <w:b/>
          <w:u w:val="single"/>
          <w:lang w:val="fr-BE"/>
        </w:rPr>
        <w:t xml:space="preserve">Projet de cadre et d’organisation de la formation professionnelle continue dans les Ecoles européennes </w:t>
      </w:r>
      <w:r w:rsidRPr="00182053">
        <w:rPr>
          <w:rFonts w:ascii="Arial" w:hAnsi="Arial" w:cs="Arial"/>
          <w:b/>
          <w:i/>
          <w:u w:val="single"/>
          <w:lang w:val="fr-BE"/>
        </w:rPr>
        <w:t>(2016-01-D-40-fr-3)</w:t>
      </w:r>
    </w:p>
    <w:p w14:paraId="79C590AA" w14:textId="77777777" w:rsidR="002254F9" w:rsidRDefault="002254F9" w:rsidP="002254F9">
      <w:pPr>
        <w:pStyle w:val="ListParagraph"/>
        <w:ind w:left="709"/>
        <w:rPr>
          <w:rFonts w:ascii="Arial" w:hAnsi="Arial" w:cs="Arial"/>
          <w:u w:val="single"/>
          <w:lang w:val="fr-BE"/>
        </w:rPr>
      </w:pPr>
    </w:p>
    <w:p w14:paraId="7B7280D1" w14:textId="77777777" w:rsidR="00480761" w:rsidRDefault="00480761" w:rsidP="00480761">
      <w:pPr>
        <w:pStyle w:val="ListParagraph"/>
        <w:ind w:left="709"/>
        <w:rPr>
          <w:rFonts w:ascii="Arial" w:hAnsi="Arial" w:cs="Arial"/>
          <w:lang w:val="fr-BE"/>
        </w:rPr>
      </w:pPr>
    </w:p>
    <w:p w14:paraId="72C4C8D6" w14:textId="77777777" w:rsidR="00480761" w:rsidRPr="002F563C" w:rsidRDefault="00480761" w:rsidP="00480761">
      <w:pPr>
        <w:pStyle w:val="ListParagraph"/>
        <w:ind w:left="709"/>
        <w:rPr>
          <w:rFonts w:ascii="Arial" w:hAnsi="Arial" w:cs="Arial"/>
          <w:bCs/>
          <w:lang w:val="fr-BE"/>
        </w:rPr>
      </w:pPr>
      <w:r w:rsidRPr="002F563C">
        <w:rPr>
          <w:rFonts w:ascii="Arial" w:hAnsi="Arial" w:cs="Arial"/>
          <w:bCs/>
          <w:lang w:val="fr-BE"/>
        </w:rPr>
        <w:t>Suite à la réception en séance d’une fiche financière plus détaillée, le Comité budgétaire adopte le projet final de cadre et d’organisation de la formation professionnelle continue dans les Ecoles européennes avec une entrée en vigueur au 1</w:t>
      </w:r>
      <w:r w:rsidRPr="002F563C">
        <w:rPr>
          <w:rFonts w:ascii="Arial" w:hAnsi="Arial" w:cs="Arial"/>
          <w:bCs/>
          <w:vertAlign w:val="superscript"/>
          <w:lang w:val="fr-BE"/>
        </w:rPr>
        <w:t>er</w:t>
      </w:r>
      <w:r w:rsidRPr="002F563C">
        <w:rPr>
          <w:rFonts w:ascii="Arial" w:hAnsi="Arial" w:cs="Arial"/>
          <w:bCs/>
          <w:lang w:val="fr-BE"/>
        </w:rPr>
        <w:t xml:space="preserve"> septembre 2017.</w:t>
      </w:r>
    </w:p>
    <w:p w14:paraId="02599DC7" w14:textId="77777777" w:rsidR="00480761" w:rsidRPr="002F563C" w:rsidRDefault="00480761" w:rsidP="00480761">
      <w:pPr>
        <w:pStyle w:val="ListParagraph"/>
        <w:ind w:left="709"/>
        <w:rPr>
          <w:rFonts w:ascii="Arial" w:hAnsi="Arial" w:cs="Arial"/>
          <w:bCs/>
          <w:lang w:val="fr-BE"/>
        </w:rPr>
      </w:pPr>
    </w:p>
    <w:p w14:paraId="43067B4A" w14:textId="77777777" w:rsidR="00480761" w:rsidRPr="002F563C" w:rsidRDefault="00480761" w:rsidP="00480761">
      <w:pPr>
        <w:pStyle w:val="ListParagraph"/>
        <w:ind w:left="709"/>
        <w:rPr>
          <w:rFonts w:ascii="Arial" w:hAnsi="Arial" w:cs="Arial"/>
          <w:bCs/>
          <w:lang w:val="fr-BE"/>
        </w:rPr>
      </w:pPr>
      <w:r w:rsidRPr="002F563C">
        <w:rPr>
          <w:rFonts w:ascii="Arial" w:hAnsi="Arial" w:cs="Arial"/>
          <w:bCs/>
          <w:lang w:val="fr-BE"/>
        </w:rPr>
        <w:t xml:space="preserve">Le Comité budgétaire donne également mandat au groupe de travail « </w:t>
      </w:r>
      <w:proofErr w:type="spellStart"/>
      <w:r w:rsidRPr="002F563C">
        <w:rPr>
          <w:rFonts w:ascii="Arial" w:hAnsi="Arial" w:cs="Arial"/>
          <w:bCs/>
          <w:lang w:val="fr-BE"/>
        </w:rPr>
        <w:t>Continuous</w:t>
      </w:r>
      <w:proofErr w:type="spellEnd"/>
      <w:r w:rsidRPr="002F563C">
        <w:rPr>
          <w:rFonts w:ascii="Arial" w:hAnsi="Arial" w:cs="Arial"/>
          <w:bCs/>
          <w:lang w:val="fr-BE"/>
        </w:rPr>
        <w:t xml:space="preserve"> Professional </w:t>
      </w:r>
      <w:proofErr w:type="spellStart"/>
      <w:r w:rsidRPr="002F563C">
        <w:rPr>
          <w:rFonts w:ascii="Arial" w:hAnsi="Arial" w:cs="Arial"/>
          <w:bCs/>
          <w:lang w:val="fr-BE"/>
        </w:rPr>
        <w:t>Development</w:t>
      </w:r>
      <w:proofErr w:type="spellEnd"/>
      <w:r w:rsidRPr="002F563C">
        <w:rPr>
          <w:rFonts w:ascii="Arial" w:hAnsi="Arial" w:cs="Arial"/>
          <w:bCs/>
          <w:lang w:val="fr-BE"/>
        </w:rPr>
        <w:t xml:space="preserve"> » : </w:t>
      </w:r>
    </w:p>
    <w:p w14:paraId="6AB48EDD" w14:textId="77777777" w:rsidR="00480761" w:rsidRPr="002F563C" w:rsidRDefault="00480761" w:rsidP="00480761">
      <w:pPr>
        <w:pStyle w:val="ListParagraph"/>
        <w:ind w:left="709"/>
        <w:rPr>
          <w:rFonts w:ascii="Arial" w:hAnsi="Arial" w:cs="Arial"/>
          <w:bCs/>
          <w:lang w:val="fr-BE"/>
        </w:rPr>
      </w:pPr>
      <w:r w:rsidRPr="002F563C">
        <w:rPr>
          <w:rFonts w:ascii="Arial" w:hAnsi="Arial" w:cs="Arial"/>
          <w:bCs/>
          <w:lang w:val="fr-BE"/>
        </w:rPr>
        <w:t xml:space="preserve">- de poursuivre ses travaux sur ce nouveau concept et ses conséquences, à savoir la mise en application de ce nouveau concept et son suivi ainsi que l’analyse de sa phase pilote, qui a débuté en février 2016 pour se terminer en juin 2017, </w:t>
      </w:r>
    </w:p>
    <w:p w14:paraId="2BD9A1FB" w14:textId="77777777" w:rsidR="00480761" w:rsidRPr="002F563C" w:rsidRDefault="00480761" w:rsidP="00480761">
      <w:pPr>
        <w:pStyle w:val="ListParagraph"/>
        <w:ind w:left="709"/>
        <w:rPr>
          <w:rFonts w:ascii="Arial" w:hAnsi="Arial" w:cs="Arial"/>
          <w:bCs/>
          <w:lang w:val="fr-BE"/>
        </w:rPr>
      </w:pPr>
      <w:r w:rsidRPr="002F563C">
        <w:rPr>
          <w:rFonts w:ascii="Arial" w:hAnsi="Arial" w:cs="Arial"/>
          <w:bCs/>
          <w:lang w:val="fr-BE"/>
        </w:rPr>
        <w:t xml:space="preserve">- suite à cette analyse, le groupe de travail élaborera un Mémorandum regroupant tous les détails organisationnels de ce nouveau concept. </w:t>
      </w:r>
    </w:p>
    <w:p w14:paraId="5727F106" w14:textId="77777777" w:rsidR="00480761" w:rsidRPr="002F563C" w:rsidRDefault="00480761" w:rsidP="00480761">
      <w:pPr>
        <w:pStyle w:val="ListParagraph"/>
        <w:ind w:left="709"/>
        <w:rPr>
          <w:rFonts w:ascii="Arial" w:hAnsi="Arial" w:cs="Arial"/>
          <w:bCs/>
          <w:lang w:val="fr-BE"/>
        </w:rPr>
      </w:pPr>
      <w:r w:rsidRPr="002F563C">
        <w:rPr>
          <w:rFonts w:ascii="Arial" w:hAnsi="Arial" w:cs="Arial"/>
          <w:bCs/>
          <w:lang w:val="fr-BE"/>
        </w:rPr>
        <w:t>- évaluation du concept à partir de la quatrième année de sa mise en application.</w:t>
      </w:r>
    </w:p>
    <w:p w14:paraId="32566107" w14:textId="77777777" w:rsidR="00480761" w:rsidRPr="002F563C" w:rsidRDefault="00480761" w:rsidP="00480761">
      <w:pPr>
        <w:pStyle w:val="ListParagraph"/>
        <w:ind w:left="709"/>
        <w:rPr>
          <w:rFonts w:ascii="Arial" w:hAnsi="Arial" w:cs="Arial"/>
          <w:bCs/>
          <w:lang w:val="fr-BE"/>
        </w:rPr>
      </w:pPr>
    </w:p>
    <w:p w14:paraId="36D507F6" w14:textId="77777777" w:rsidR="00480761" w:rsidRPr="002F563C" w:rsidRDefault="00480761" w:rsidP="00480761">
      <w:pPr>
        <w:pStyle w:val="ListParagraph"/>
        <w:ind w:left="709"/>
        <w:rPr>
          <w:rFonts w:ascii="Arial" w:hAnsi="Arial" w:cs="Arial"/>
          <w:bCs/>
          <w:lang w:val="fr-BE"/>
        </w:rPr>
      </w:pPr>
      <w:r w:rsidRPr="002F563C">
        <w:rPr>
          <w:rFonts w:ascii="Arial" w:hAnsi="Arial" w:cs="Arial"/>
          <w:bCs/>
          <w:lang w:val="fr-BE"/>
        </w:rPr>
        <w:t xml:space="preserve">En outre, suite à l’avis du Conseil d’inspection mixte et du Comité pédagogique mixte, le Comité budgétaire recommande que les points suivants soient également pris en considération ainsi que discutés et définis au sein des groupes de travail déjà existants et compétents: </w:t>
      </w:r>
    </w:p>
    <w:p w14:paraId="259F279C" w14:textId="77777777" w:rsidR="00480761" w:rsidRPr="002F563C" w:rsidRDefault="00480761" w:rsidP="00480761">
      <w:pPr>
        <w:pStyle w:val="ListParagraph"/>
        <w:ind w:left="709"/>
        <w:rPr>
          <w:rFonts w:ascii="Arial" w:hAnsi="Arial" w:cs="Arial"/>
          <w:bCs/>
          <w:lang w:val="fr-BE"/>
        </w:rPr>
      </w:pPr>
      <w:r w:rsidRPr="002F563C">
        <w:rPr>
          <w:rFonts w:ascii="Arial" w:hAnsi="Arial" w:cs="Arial"/>
          <w:bCs/>
          <w:lang w:val="fr-BE"/>
        </w:rPr>
        <w:t xml:space="preserve">- la rémunération ou autres avantages dont pourraient bénéficier les « Référents de la matière » pour cette charge de travail supplémentaire; </w:t>
      </w:r>
    </w:p>
    <w:p w14:paraId="65BF4AD6" w14:textId="77777777" w:rsidR="00FC5359" w:rsidRPr="002F563C" w:rsidRDefault="00480761" w:rsidP="00480761">
      <w:pPr>
        <w:pStyle w:val="ListParagraph"/>
        <w:ind w:left="709"/>
        <w:rPr>
          <w:rFonts w:ascii="Arial" w:hAnsi="Arial" w:cs="Arial"/>
          <w:lang w:val="fr-BE"/>
        </w:rPr>
      </w:pPr>
      <w:r w:rsidRPr="002F563C">
        <w:rPr>
          <w:rFonts w:ascii="Arial" w:hAnsi="Arial" w:cs="Arial"/>
          <w:bCs/>
          <w:lang w:val="fr-BE"/>
        </w:rPr>
        <w:t>- leur intégration dans l’organigramme général des Écoles européennes.</w:t>
      </w:r>
    </w:p>
    <w:p w14:paraId="76A6D24C" w14:textId="77777777" w:rsidR="007A0BC3" w:rsidRDefault="007A0BC3" w:rsidP="002254F9">
      <w:pPr>
        <w:pStyle w:val="ListParagraph"/>
        <w:ind w:left="709"/>
        <w:rPr>
          <w:rFonts w:ascii="Arial" w:hAnsi="Arial" w:cs="Arial"/>
          <w:lang w:val="fr-BE"/>
        </w:rPr>
      </w:pPr>
    </w:p>
    <w:p w14:paraId="78DEB6A6" w14:textId="22BD0A30" w:rsidR="007A0BC3" w:rsidRDefault="007A0BC3" w:rsidP="002254F9">
      <w:pPr>
        <w:pStyle w:val="ListParagraph"/>
        <w:ind w:left="709"/>
        <w:rPr>
          <w:rFonts w:ascii="Arial" w:hAnsi="Arial" w:cs="Arial"/>
          <w:lang w:val="fr-BE"/>
        </w:rPr>
      </w:pPr>
    </w:p>
    <w:p w14:paraId="493CA46F" w14:textId="367D1DBA" w:rsidR="002F563C" w:rsidRDefault="002F563C" w:rsidP="002254F9">
      <w:pPr>
        <w:pStyle w:val="ListParagraph"/>
        <w:ind w:left="709"/>
        <w:rPr>
          <w:rFonts w:ascii="Arial" w:hAnsi="Arial" w:cs="Arial"/>
          <w:lang w:val="fr-BE"/>
        </w:rPr>
      </w:pPr>
    </w:p>
    <w:p w14:paraId="78EA3585" w14:textId="4C141E0F" w:rsidR="002F563C" w:rsidRDefault="002F563C" w:rsidP="002254F9">
      <w:pPr>
        <w:pStyle w:val="ListParagraph"/>
        <w:ind w:left="709"/>
        <w:rPr>
          <w:rFonts w:ascii="Arial" w:hAnsi="Arial" w:cs="Arial"/>
          <w:lang w:val="fr-BE"/>
        </w:rPr>
      </w:pPr>
    </w:p>
    <w:p w14:paraId="3AD21146" w14:textId="27ED6C85" w:rsidR="002F563C" w:rsidRDefault="002F563C" w:rsidP="002254F9">
      <w:pPr>
        <w:pStyle w:val="ListParagraph"/>
        <w:ind w:left="709"/>
        <w:rPr>
          <w:rFonts w:ascii="Arial" w:hAnsi="Arial" w:cs="Arial"/>
          <w:lang w:val="fr-BE"/>
        </w:rPr>
      </w:pPr>
    </w:p>
    <w:p w14:paraId="5A68E5BC" w14:textId="054238B7" w:rsidR="002F563C" w:rsidRDefault="002F563C" w:rsidP="002254F9">
      <w:pPr>
        <w:pStyle w:val="ListParagraph"/>
        <w:ind w:left="709"/>
        <w:rPr>
          <w:rFonts w:ascii="Arial" w:hAnsi="Arial" w:cs="Arial"/>
          <w:lang w:val="fr-BE"/>
        </w:rPr>
      </w:pPr>
    </w:p>
    <w:sectPr w:rsidR="002F563C" w:rsidSect="00277FC0">
      <w:pgSz w:w="12240" w:h="15840"/>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5AC"/>
    <w:multiLevelType w:val="hybridMultilevel"/>
    <w:tmpl w:val="CF1E2B5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A91"/>
    <w:multiLevelType w:val="hybridMultilevel"/>
    <w:tmpl w:val="4C96A07C"/>
    <w:lvl w:ilvl="0" w:tplc="4A728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5E448B"/>
    <w:multiLevelType w:val="hybridMultilevel"/>
    <w:tmpl w:val="FF74B0D0"/>
    <w:lvl w:ilvl="0" w:tplc="33800EB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07D4E"/>
    <w:multiLevelType w:val="hybridMultilevel"/>
    <w:tmpl w:val="86CA9CA6"/>
    <w:lvl w:ilvl="0" w:tplc="D8C6B800">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FF81B36"/>
    <w:multiLevelType w:val="hybridMultilevel"/>
    <w:tmpl w:val="A4B680C8"/>
    <w:lvl w:ilvl="0" w:tplc="129C5F84">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660E0C"/>
    <w:multiLevelType w:val="hybridMultilevel"/>
    <w:tmpl w:val="BF165568"/>
    <w:lvl w:ilvl="0" w:tplc="3E221C3E">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9C451C"/>
    <w:multiLevelType w:val="hybridMultilevel"/>
    <w:tmpl w:val="011C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30DB5"/>
    <w:multiLevelType w:val="hybridMultilevel"/>
    <w:tmpl w:val="6BD6767A"/>
    <w:lvl w:ilvl="0" w:tplc="C71CF95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836854"/>
    <w:multiLevelType w:val="hybridMultilevel"/>
    <w:tmpl w:val="B2EECC3A"/>
    <w:lvl w:ilvl="0" w:tplc="A51A5C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95254C"/>
    <w:multiLevelType w:val="hybridMultilevel"/>
    <w:tmpl w:val="3E8603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4045B7"/>
    <w:multiLevelType w:val="hybridMultilevel"/>
    <w:tmpl w:val="8A3451B6"/>
    <w:lvl w:ilvl="0" w:tplc="04AEF78E">
      <w:start w:val="1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118"/>
    <w:multiLevelType w:val="hybridMultilevel"/>
    <w:tmpl w:val="B6F42FBA"/>
    <w:lvl w:ilvl="0" w:tplc="42A28CAA">
      <w:start w:val="1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0D3306"/>
    <w:multiLevelType w:val="hybridMultilevel"/>
    <w:tmpl w:val="F1829B5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D54C5"/>
    <w:multiLevelType w:val="hybridMultilevel"/>
    <w:tmpl w:val="82C09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F71D1"/>
    <w:multiLevelType w:val="hybridMultilevel"/>
    <w:tmpl w:val="84041E6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5381B"/>
    <w:multiLevelType w:val="hybridMultilevel"/>
    <w:tmpl w:val="7366797A"/>
    <w:lvl w:ilvl="0" w:tplc="ABF08D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BE021C3"/>
    <w:multiLevelType w:val="hybridMultilevel"/>
    <w:tmpl w:val="F36643D2"/>
    <w:lvl w:ilvl="0" w:tplc="F3EC41D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463FC3"/>
    <w:multiLevelType w:val="hybridMultilevel"/>
    <w:tmpl w:val="E0468E42"/>
    <w:lvl w:ilvl="0" w:tplc="20C0F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7"/>
  </w:num>
  <w:num w:numId="3">
    <w:abstractNumId w:val="1"/>
  </w:num>
  <w:num w:numId="4">
    <w:abstractNumId w:val="13"/>
  </w:num>
  <w:num w:numId="5">
    <w:abstractNumId w:val="4"/>
  </w:num>
  <w:num w:numId="6">
    <w:abstractNumId w:val="5"/>
  </w:num>
  <w:num w:numId="7">
    <w:abstractNumId w:val="14"/>
  </w:num>
  <w:num w:numId="8">
    <w:abstractNumId w:val="10"/>
  </w:num>
  <w:num w:numId="9">
    <w:abstractNumId w:val="12"/>
  </w:num>
  <w:num w:numId="10">
    <w:abstractNumId w:val="0"/>
  </w:num>
  <w:num w:numId="11">
    <w:abstractNumId w:val="16"/>
  </w:num>
  <w:num w:numId="12">
    <w:abstractNumId w:val="15"/>
  </w:num>
  <w:num w:numId="13">
    <w:abstractNumId w:val="7"/>
  </w:num>
  <w:num w:numId="14">
    <w:abstractNumId w:val="8"/>
  </w:num>
  <w:num w:numId="15">
    <w:abstractNumId w:val="2"/>
  </w:num>
  <w:num w:numId="16">
    <w:abstractNumId w:val="11"/>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FD"/>
    <w:rsid w:val="000021B7"/>
    <w:rsid w:val="000042D5"/>
    <w:rsid w:val="00004702"/>
    <w:rsid w:val="0000598C"/>
    <w:rsid w:val="00011D64"/>
    <w:rsid w:val="00012123"/>
    <w:rsid w:val="000126D0"/>
    <w:rsid w:val="000173FD"/>
    <w:rsid w:val="00020D26"/>
    <w:rsid w:val="00034C0A"/>
    <w:rsid w:val="00064F9B"/>
    <w:rsid w:val="00091145"/>
    <w:rsid w:val="000A506B"/>
    <w:rsid w:val="000B17D3"/>
    <w:rsid w:val="000B2023"/>
    <w:rsid w:val="000C0082"/>
    <w:rsid w:val="000C7871"/>
    <w:rsid w:val="000D14D4"/>
    <w:rsid w:val="000D6180"/>
    <w:rsid w:val="000E74EC"/>
    <w:rsid w:val="000F14DE"/>
    <w:rsid w:val="000F2CC0"/>
    <w:rsid w:val="000F4911"/>
    <w:rsid w:val="00106BBC"/>
    <w:rsid w:val="00111431"/>
    <w:rsid w:val="00115AA2"/>
    <w:rsid w:val="00124D13"/>
    <w:rsid w:val="001309C1"/>
    <w:rsid w:val="00132E08"/>
    <w:rsid w:val="00134BE3"/>
    <w:rsid w:val="00140896"/>
    <w:rsid w:val="00142EF9"/>
    <w:rsid w:val="00150DCF"/>
    <w:rsid w:val="0015570F"/>
    <w:rsid w:val="001622F2"/>
    <w:rsid w:val="00175A15"/>
    <w:rsid w:val="001801B8"/>
    <w:rsid w:val="0018126D"/>
    <w:rsid w:val="00182053"/>
    <w:rsid w:val="0019206B"/>
    <w:rsid w:val="001937A6"/>
    <w:rsid w:val="001C25A0"/>
    <w:rsid w:val="001C540F"/>
    <w:rsid w:val="001D208C"/>
    <w:rsid w:val="001D2296"/>
    <w:rsid w:val="001D6C53"/>
    <w:rsid w:val="001D754A"/>
    <w:rsid w:val="001E3471"/>
    <w:rsid w:val="001E6E93"/>
    <w:rsid w:val="001F7F1C"/>
    <w:rsid w:val="00210F5D"/>
    <w:rsid w:val="00212E13"/>
    <w:rsid w:val="002147AF"/>
    <w:rsid w:val="00224C5E"/>
    <w:rsid w:val="00224E72"/>
    <w:rsid w:val="002254F9"/>
    <w:rsid w:val="0023529F"/>
    <w:rsid w:val="00236AE6"/>
    <w:rsid w:val="00237773"/>
    <w:rsid w:val="00240F13"/>
    <w:rsid w:val="002431C5"/>
    <w:rsid w:val="0026528C"/>
    <w:rsid w:val="00277FC0"/>
    <w:rsid w:val="00280F72"/>
    <w:rsid w:val="00282B73"/>
    <w:rsid w:val="002A1462"/>
    <w:rsid w:val="002A4245"/>
    <w:rsid w:val="002B17A7"/>
    <w:rsid w:val="002C7F1A"/>
    <w:rsid w:val="002D0351"/>
    <w:rsid w:val="002D1F38"/>
    <w:rsid w:val="002E1EF8"/>
    <w:rsid w:val="002E5B64"/>
    <w:rsid w:val="002E7511"/>
    <w:rsid w:val="002F1DAC"/>
    <w:rsid w:val="002F563C"/>
    <w:rsid w:val="002F6920"/>
    <w:rsid w:val="0030042C"/>
    <w:rsid w:val="00314B77"/>
    <w:rsid w:val="00315248"/>
    <w:rsid w:val="0032311C"/>
    <w:rsid w:val="003264BD"/>
    <w:rsid w:val="003302E0"/>
    <w:rsid w:val="00332AD5"/>
    <w:rsid w:val="00337B64"/>
    <w:rsid w:val="00343C4A"/>
    <w:rsid w:val="003528C4"/>
    <w:rsid w:val="00356396"/>
    <w:rsid w:val="00365A7A"/>
    <w:rsid w:val="00370089"/>
    <w:rsid w:val="003761AB"/>
    <w:rsid w:val="0038692E"/>
    <w:rsid w:val="003914EE"/>
    <w:rsid w:val="003A074D"/>
    <w:rsid w:val="003A0BAE"/>
    <w:rsid w:val="003A4B13"/>
    <w:rsid w:val="003B18E7"/>
    <w:rsid w:val="003C19F6"/>
    <w:rsid w:val="003C5007"/>
    <w:rsid w:val="003C58AC"/>
    <w:rsid w:val="004016EB"/>
    <w:rsid w:val="004041EF"/>
    <w:rsid w:val="004044DB"/>
    <w:rsid w:val="00406D2E"/>
    <w:rsid w:val="00410F0C"/>
    <w:rsid w:val="00416F0B"/>
    <w:rsid w:val="00417D1A"/>
    <w:rsid w:val="00417D7F"/>
    <w:rsid w:val="00426FB9"/>
    <w:rsid w:val="00435D96"/>
    <w:rsid w:val="004427D8"/>
    <w:rsid w:val="0045452F"/>
    <w:rsid w:val="00455E18"/>
    <w:rsid w:val="004610EC"/>
    <w:rsid w:val="0047051D"/>
    <w:rsid w:val="00471042"/>
    <w:rsid w:val="00471947"/>
    <w:rsid w:val="00475DFA"/>
    <w:rsid w:val="0047714D"/>
    <w:rsid w:val="00480761"/>
    <w:rsid w:val="00483DFA"/>
    <w:rsid w:val="004A4A6C"/>
    <w:rsid w:val="004A6C56"/>
    <w:rsid w:val="004B1305"/>
    <w:rsid w:val="004C15DF"/>
    <w:rsid w:val="004D2DA0"/>
    <w:rsid w:val="004D4E40"/>
    <w:rsid w:val="004E539C"/>
    <w:rsid w:val="004E7B47"/>
    <w:rsid w:val="004F7143"/>
    <w:rsid w:val="00503729"/>
    <w:rsid w:val="00503D25"/>
    <w:rsid w:val="005154D9"/>
    <w:rsid w:val="00515621"/>
    <w:rsid w:val="0053037A"/>
    <w:rsid w:val="00531A57"/>
    <w:rsid w:val="005378F4"/>
    <w:rsid w:val="00554E17"/>
    <w:rsid w:val="00555726"/>
    <w:rsid w:val="00560791"/>
    <w:rsid w:val="005668A4"/>
    <w:rsid w:val="00573873"/>
    <w:rsid w:val="00577709"/>
    <w:rsid w:val="005840BF"/>
    <w:rsid w:val="005850CE"/>
    <w:rsid w:val="005870C7"/>
    <w:rsid w:val="00592353"/>
    <w:rsid w:val="0059618C"/>
    <w:rsid w:val="005A4FBF"/>
    <w:rsid w:val="005C598C"/>
    <w:rsid w:val="005D28D5"/>
    <w:rsid w:val="005D332E"/>
    <w:rsid w:val="005D4FBC"/>
    <w:rsid w:val="005D6813"/>
    <w:rsid w:val="005F1B4B"/>
    <w:rsid w:val="0060594D"/>
    <w:rsid w:val="006112EA"/>
    <w:rsid w:val="006223C7"/>
    <w:rsid w:val="0062786B"/>
    <w:rsid w:val="00630EA3"/>
    <w:rsid w:val="00631991"/>
    <w:rsid w:val="00634555"/>
    <w:rsid w:val="00634E7E"/>
    <w:rsid w:val="00637F11"/>
    <w:rsid w:val="006412EC"/>
    <w:rsid w:val="00651B33"/>
    <w:rsid w:val="00651E6F"/>
    <w:rsid w:val="0066213F"/>
    <w:rsid w:val="00670CA8"/>
    <w:rsid w:val="006778A8"/>
    <w:rsid w:val="006A4735"/>
    <w:rsid w:val="006A4F7B"/>
    <w:rsid w:val="006A6710"/>
    <w:rsid w:val="006B0F4A"/>
    <w:rsid w:val="006C0D35"/>
    <w:rsid w:val="006C621D"/>
    <w:rsid w:val="006D761D"/>
    <w:rsid w:val="006E120C"/>
    <w:rsid w:val="006E5372"/>
    <w:rsid w:val="0070705C"/>
    <w:rsid w:val="00710069"/>
    <w:rsid w:val="00715AC6"/>
    <w:rsid w:val="0072734F"/>
    <w:rsid w:val="00730C6A"/>
    <w:rsid w:val="007311E0"/>
    <w:rsid w:val="00742BEE"/>
    <w:rsid w:val="007452F5"/>
    <w:rsid w:val="00745F51"/>
    <w:rsid w:val="00760DFC"/>
    <w:rsid w:val="00766B10"/>
    <w:rsid w:val="00773934"/>
    <w:rsid w:val="00784D95"/>
    <w:rsid w:val="007A0445"/>
    <w:rsid w:val="007A0BC3"/>
    <w:rsid w:val="007A316B"/>
    <w:rsid w:val="007A564A"/>
    <w:rsid w:val="007B7271"/>
    <w:rsid w:val="007B7BCF"/>
    <w:rsid w:val="007C0FF2"/>
    <w:rsid w:val="007C292F"/>
    <w:rsid w:val="007C30F2"/>
    <w:rsid w:val="007C79C2"/>
    <w:rsid w:val="007F27BD"/>
    <w:rsid w:val="008020EA"/>
    <w:rsid w:val="008055E3"/>
    <w:rsid w:val="00807C94"/>
    <w:rsid w:val="00810F2C"/>
    <w:rsid w:val="0082315D"/>
    <w:rsid w:val="0083121C"/>
    <w:rsid w:val="008400A3"/>
    <w:rsid w:val="0084235B"/>
    <w:rsid w:val="00843627"/>
    <w:rsid w:val="00847B38"/>
    <w:rsid w:val="0086438C"/>
    <w:rsid w:val="0086746B"/>
    <w:rsid w:val="00881118"/>
    <w:rsid w:val="008858B9"/>
    <w:rsid w:val="00885B66"/>
    <w:rsid w:val="008A12FC"/>
    <w:rsid w:val="008B1605"/>
    <w:rsid w:val="008B27BC"/>
    <w:rsid w:val="008C4E31"/>
    <w:rsid w:val="008D14AD"/>
    <w:rsid w:val="008D7896"/>
    <w:rsid w:val="008E149B"/>
    <w:rsid w:val="008E6DA6"/>
    <w:rsid w:val="008F34CC"/>
    <w:rsid w:val="008F697F"/>
    <w:rsid w:val="0090669F"/>
    <w:rsid w:val="00916953"/>
    <w:rsid w:val="00922797"/>
    <w:rsid w:val="0093156D"/>
    <w:rsid w:val="009471AC"/>
    <w:rsid w:val="00956DE2"/>
    <w:rsid w:val="00960469"/>
    <w:rsid w:val="0096359D"/>
    <w:rsid w:val="00966207"/>
    <w:rsid w:val="009669F5"/>
    <w:rsid w:val="009777CA"/>
    <w:rsid w:val="00980307"/>
    <w:rsid w:val="009829AA"/>
    <w:rsid w:val="009831E8"/>
    <w:rsid w:val="00985508"/>
    <w:rsid w:val="00990945"/>
    <w:rsid w:val="00996C7D"/>
    <w:rsid w:val="009A234A"/>
    <w:rsid w:val="009A61D1"/>
    <w:rsid w:val="009B4D13"/>
    <w:rsid w:val="009B6A80"/>
    <w:rsid w:val="009C7647"/>
    <w:rsid w:val="009D28DA"/>
    <w:rsid w:val="009D47A9"/>
    <w:rsid w:val="009D7155"/>
    <w:rsid w:val="009E789F"/>
    <w:rsid w:val="00A1588E"/>
    <w:rsid w:val="00A206A1"/>
    <w:rsid w:val="00A207BC"/>
    <w:rsid w:val="00A24BBC"/>
    <w:rsid w:val="00A3068F"/>
    <w:rsid w:val="00A36D0F"/>
    <w:rsid w:val="00A41227"/>
    <w:rsid w:val="00A42352"/>
    <w:rsid w:val="00A46CD0"/>
    <w:rsid w:val="00A53B30"/>
    <w:rsid w:val="00A56B88"/>
    <w:rsid w:val="00A576D9"/>
    <w:rsid w:val="00A729A5"/>
    <w:rsid w:val="00A72F82"/>
    <w:rsid w:val="00A868FB"/>
    <w:rsid w:val="00A9500E"/>
    <w:rsid w:val="00AA048A"/>
    <w:rsid w:val="00AA3093"/>
    <w:rsid w:val="00AB608B"/>
    <w:rsid w:val="00AC1B1F"/>
    <w:rsid w:val="00AC4FF6"/>
    <w:rsid w:val="00AE0C6E"/>
    <w:rsid w:val="00AF2606"/>
    <w:rsid w:val="00AF5F3E"/>
    <w:rsid w:val="00AF687F"/>
    <w:rsid w:val="00AF6F82"/>
    <w:rsid w:val="00B03AA6"/>
    <w:rsid w:val="00B0778E"/>
    <w:rsid w:val="00B10423"/>
    <w:rsid w:val="00B1393F"/>
    <w:rsid w:val="00B21F32"/>
    <w:rsid w:val="00B25F52"/>
    <w:rsid w:val="00B4555B"/>
    <w:rsid w:val="00B47E33"/>
    <w:rsid w:val="00B575B4"/>
    <w:rsid w:val="00B5775B"/>
    <w:rsid w:val="00B6771A"/>
    <w:rsid w:val="00B92032"/>
    <w:rsid w:val="00B93CA3"/>
    <w:rsid w:val="00BC3F03"/>
    <w:rsid w:val="00BC4A00"/>
    <w:rsid w:val="00BC6A09"/>
    <w:rsid w:val="00BE22ED"/>
    <w:rsid w:val="00BE47A8"/>
    <w:rsid w:val="00BE53DD"/>
    <w:rsid w:val="00BF0DBF"/>
    <w:rsid w:val="00BF26C7"/>
    <w:rsid w:val="00BF65C7"/>
    <w:rsid w:val="00C05B57"/>
    <w:rsid w:val="00C14E80"/>
    <w:rsid w:val="00C16D63"/>
    <w:rsid w:val="00C17C0F"/>
    <w:rsid w:val="00C21C91"/>
    <w:rsid w:val="00C24452"/>
    <w:rsid w:val="00C267B0"/>
    <w:rsid w:val="00C30680"/>
    <w:rsid w:val="00C34799"/>
    <w:rsid w:val="00C34CC1"/>
    <w:rsid w:val="00C42211"/>
    <w:rsid w:val="00C4427E"/>
    <w:rsid w:val="00C4670B"/>
    <w:rsid w:val="00C503B9"/>
    <w:rsid w:val="00C5140A"/>
    <w:rsid w:val="00C51A8E"/>
    <w:rsid w:val="00C53184"/>
    <w:rsid w:val="00C53CCE"/>
    <w:rsid w:val="00C56AB8"/>
    <w:rsid w:val="00C622CF"/>
    <w:rsid w:val="00C66488"/>
    <w:rsid w:val="00C66CAD"/>
    <w:rsid w:val="00C75DDA"/>
    <w:rsid w:val="00C774C9"/>
    <w:rsid w:val="00C87A3A"/>
    <w:rsid w:val="00C934F4"/>
    <w:rsid w:val="00C950B3"/>
    <w:rsid w:val="00CA0D3C"/>
    <w:rsid w:val="00CB427C"/>
    <w:rsid w:val="00CB7DE3"/>
    <w:rsid w:val="00CC2D68"/>
    <w:rsid w:val="00CD0D13"/>
    <w:rsid w:val="00CD29F4"/>
    <w:rsid w:val="00CD57C1"/>
    <w:rsid w:val="00CD7A78"/>
    <w:rsid w:val="00CE56A4"/>
    <w:rsid w:val="00CE70B9"/>
    <w:rsid w:val="00CE7576"/>
    <w:rsid w:val="00CF360B"/>
    <w:rsid w:val="00CF665F"/>
    <w:rsid w:val="00D100E2"/>
    <w:rsid w:val="00D26D89"/>
    <w:rsid w:val="00D26FA1"/>
    <w:rsid w:val="00D32CC5"/>
    <w:rsid w:val="00D422D3"/>
    <w:rsid w:val="00D45519"/>
    <w:rsid w:val="00D54113"/>
    <w:rsid w:val="00D56D11"/>
    <w:rsid w:val="00D57341"/>
    <w:rsid w:val="00D67D50"/>
    <w:rsid w:val="00D77004"/>
    <w:rsid w:val="00D850E7"/>
    <w:rsid w:val="00D85B66"/>
    <w:rsid w:val="00D90BEA"/>
    <w:rsid w:val="00D948B7"/>
    <w:rsid w:val="00D94E2D"/>
    <w:rsid w:val="00D95B8D"/>
    <w:rsid w:val="00D97735"/>
    <w:rsid w:val="00DA0ED2"/>
    <w:rsid w:val="00DA4D91"/>
    <w:rsid w:val="00DA54AE"/>
    <w:rsid w:val="00DA54CA"/>
    <w:rsid w:val="00DA6D80"/>
    <w:rsid w:val="00DB0825"/>
    <w:rsid w:val="00DB684A"/>
    <w:rsid w:val="00DC1132"/>
    <w:rsid w:val="00DC19FF"/>
    <w:rsid w:val="00DC1C6C"/>
    <w:rsid w:val="00DC31C8"/>
    <w:rsid w:val="00DD6D40"/>
    <w:rsid w:val="00DD6D55"/>
    <w:rsid w:val="00DF1416"/>
    <w:rsid w:val="00E00E05"/>
    <w:rsid w:val="00E01475"/>
    <w:rsid w:val="00E02B54"/>
    <w:rsid w:val="00E059C6"/>
    <w:rsid w:val="00E05DA2"/>
    <w:rsid w:val="00E25BDA"/>
    <w:rsid w:val="00E45D60"/>
    <w:rsid w:val="00E47FD6"/>
    <w:rsid w:val="00E503EC"/>
    <w:rsid w:val="00E537C6"/>
    <w:rsid w:val="00E806EF"/>
    <w:rsid w:val="00E867B4"/>
    <w:rsid w:val="00E95D65"/>
    <w:rsid w:val="00EA7EFE"/>
    <w:rsid w:val="00ED0783"/>
    <w:rsid w:val="00ED489C"/>
    <w:rsid w:val="00ED7620"/>
    <w:rsid w:val="00EE7304"/>
    <w:rsid w:val="00EF0906"/>
    <w:rsid w:val="00EF546F"/>
    <w:rsid w:val="00F00AB1"/>
    <w:rsid w:val="00F05E5E"/>
    <w:rsid w:val="00F061A2"/>
    <w:rsid w:val="00F21134"/>
    <w:rsid w:val="00F35B60"/>
    <w:rsid w:val="00F47281"/>
    <w:rsid w:val="00F53AF0"/>
    <w:rsid w:val="00F65110"/>
    <w:rsid w:val="00F714BB"/>
    <w:rsid w:val="00F72631"/>
    <w:rsid w:val="00F738F3"/>
    <w:rsid w:val="00F75623"/>
    <w:rsid w:val="00F7773B"/>
    <w:rsid w:val="00F7793E"/>
    <w:rsid w:val="00F93F41"/>
    <w:rsid w:val="00FB5F1A"/>
    <w:rsid w:val="00FC5359"/>
    <w:rsid w:val="00FD068F"/>
    <w:rsid w:val="00FD5CA7"/>
    <w:rsid w:val="00FD61C8"/>
    <w:rsid w:val="00FF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A1D9"/>
  <w15:docId w15:val="{24D1333E-BAB0-4982-A25E-BE25C860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500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FD"/>
    <w:pPr>
      <w:ind w:left="720"/>
      <w:contextualSpacing/>
    </w:pPr>
  </w:style>
  <w:style w:type="character" w:styleId="Hyperlink">
    <w:name w:val="Hyperlink"/>
    <w:basedOn w:val="DefaultParagraphFont"/>
    <w:uiPriority w:val="99"/>
    <w:unhideWhenUsed/>
    <w:rsid w:val="00D100E2"/>
    <w:rPr>
      <w:color w:val="0000FF" w:themeColor="hyperlink"/>
      <w:u w:val="single"/>
    </w:rPr>
  </w:style>
  <w:style w:type="paragraph" w:customStyle="1" w:styleId="References">
    <w:name w:val="References"/>
    <w:basedOn w:val="Normal"/>
    <w:rsid w:val="00D26FA1"/>
    <w:pPr>
      <w:spacing w:before="120" w:after="0" w:line="240" w:lineRule="auto"/>
      <w:jc w:val="both"/>
    </w:pPr>
    <w:rPr>
      <w:rFonts w:ascii="Arial" w:eastAsia="Times New Roman" w:hAnsi="Arial" w:cs="Times New Roman"/>
      <w:b/>
      <w:szCs w:val="20"/>
      <w:lang w:val="fr-FR" w:eastAsia="fr-FR"/>
    </w:rPr>
  </w:style>
  <w:style w:type="paragraph" w:customStyle="1" w:styleId="DocumentTitle">
    <w:name w:val="Document Title"/>
    <w:basedOn w:val="Normal"/>
    <w:rsid w:val="00D26FA1"/>
    <w:pPr>
      <w:pBdr>
        <w:bottom w:val="single" w:sz="4" w:space="1" w:color="auto"/>
      </w:pBdr>
      <w:spacing w:before="2400" w:after="120" w:line="240" w:lineRule="auto"/>
      <w:outlineLvl w:val="0"/>
    </w:pPr>
    <w:rPr>
      <w:rFonts w:ascii="Arial" w:eastAsia="Times" w:hAnsi="Arial" w:cs="Times New Roman"/>
      <w:b/>
      <w:kern w:val="28"/>
      <w:sz w:val="32"/>
      <w:szCs w:val="20"/>
      <w:lang w:val="fr-FR" w:eastAsia="fr-FR"/>
    </w:rPr>
  </w:style>
  <w:style w:type="paragraph" w:customStyle="1" w:styleId="SubTitle1">
    <w:name w:val="SubTitle1"/>
    <w:basedOn w:val="Normal"/>
    <w:rsid w:val="00D26FA1"/>
    <w:pPr>
      <w:spacing w:after="720" w:line="240" w:lineRule="auto"/>
      <w:jc w:val="both"/>
    </w:pPr>
    <w:rPr>
      <w:rFonts w:ascii="Arial" w:eastAsia="Times" w:hAnsi="Arial" w:cs="Times New Roman"/>
      <w:b/>
      <w:szCs w:val="20"/>
      <w:lang w:val="fr-FR" w:eastAsia="fr-FR"/>
    </w:rPr>
  </w:style>
  <w:style w:type="paragraph" w:customStyle="1" w:styleId="SubTitle2">
    <w:name w:val="SubTitle2"/>
    <w:basedOn w:val="Normal"/>
    <w:next w:val="SubTitle1"/>
    <w:rsid w:val="00D26FA1"/>
    <w:pPr>
      <w:pBdr>
        <w:bottom w:val="single" w:sz="4" w:space="1" w:color="auto"/>
      </w:pBdr>
      <w:spacing w:before="120" w:after="1000" w:line="240" w:lineRule="auto"/>
      <w:jc w:val="both"/>
    </w:pPr>
    <w:rPr>
      <w:rFonts w:ascii="Arial" w:eastAsia="Times" w:hAnsi="Arial" w:cs="Times New Roman"/>
      <w:szCs w:val="20"/>
      <w:lang w:val="fr-FR" w:eastAsia="fr-FR"/>
    </w:rPr>
  </w:style>
  <w:style w:type="paragraph" w:customStyle="1" w:styleId="ZCom">
    <w:name w:val="Z_Com"/>
    <w:basedOn w:val="Normal"/>
    <w:next w:val="Normal"/>
    <w:rsid w:val="00D26FA1"/>
    <w:pPr>
      <w:widowControl w:val="0"/>
      <w:spacing w:after="0" w:line="240" w:lineRule="auto"/>
      <w:ind w:right="85"/>
      <w:jc w:val="both"/>
    </w:pPr>
    <w:rPr>
      <w:rFonts w:ascii="Arial" w:eastAsia="Times New Roman" w:hAnsi="Arial" w:cs="Times New Roman"/>
      <w:snapToGrid w:val="0"/>
      <w:sz w:val="24"/>
      <w:szCs w:val="20"/>
      <w:lang w:val="fr-FR"/>
    </w:rPr>
  </w:style>
  <w:style w:type="paragraph" w:customStyle="1" w:styleId="ZDGName">
    <w:name w:val="Z_DGName"/>
    <w:basedOn w:val="Normal"/>
    <w:rsid w:val="00D26FA1"/>
    <w:pPr>
      <w:widowControl w:val="0"/>
      <w:spacing w:after="0" w:line="240" w:lineRule="auto"/>
      <w:ind w:right="85"/>
      <w:jc w:val="both"/>
    </w:pPr>
    <w:rPr>
      <w:rFonts w:ascii="Arial" w:eastAsia="Times New Roman" w:hAnsi="Arial" w:cs="Times New Roman"/>
      <w:snapToGrid w:val="0"/>
      <w:sz w:val="16"/>
      <w:szCs w:val="20"/>
      <w:lang w:val="fr-FR"/>
    </w:rPr>
  </w:style>
  <w:style w:type="paragraph" w:styleId="BalloonText">
    <w:name w:val="Balloon Text"/>
    <w:basedOn w:val="Normal"/>
    <w:link w:val="BalloonTextChar"/>
    <w:uiPriority w:val="99"/>
    <w:semiHidden/>
    <w:unhideWhenUsed/>
    <w:rsid w:val="00D26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FA1"/>
    <w:rPr>
      <w:rFonts w:ascii="Tahoma" w:hAnsi="Tahoma" w:cs="Tahoma"/>
      <w:sz w:val="16"/>
      <w:szCs w:val="16"/>
    </w:rPr>
  </w:style>
  <w:style w:type="character" w:styleId="CommentReference">
    <w:name w:val="annotation reference"/>
    <w:basedOn w:val="DefaultParagraphFont"/>
    <w:uiPriority w:val="99"/>
    <w:semiHidden/>
    <w:unhideWhenUsed/>
    <w:rsid w:val="009829AA"/>
    <w:rPr>
      <w:sz w:val="16"/>
      <w:szCs w:val="16"/>
    </w:rPr>
  </w:style>
  <w:style w:type="paragraph" w:styleId="CommentText">
    <w:name w:val="annotation text"/>
    <w:basedOn w:val="Normal"/>
    <w:link w:val="CommentTextChar"/>
    <w:uiPriority w:val="99"/>
    <w:semiHidden/>
    <w:unhideWhenUsed/>
    <w:rsid w:val="009829AA"/>
    <w:pPr>
      <w:spacing w:line="240" w:lineRule="auto"/>
    </w:pPr>
    <w:rPr>
      <w:sz w:val="20"/>
      <w:szCs w:val="20"/>
    </w:rPr>
  </w:style>
  <w:style w:type="character" w:customStyle="1" w:styleId="CommentTextChar">
    <w:name w:val="Comment Text Char"/>
    <w:basedOn w:val="DefaultParagraphFont"/>
    <w:link w:val="CommentText"/>
    <w:uiPriority w:val="99"/>
    <w:semiHidden/>
    <w:rsid w:val="009829AA"/>
    <w:rPr>
      <w:sz w:val="20"/>
      <w:szCs w:val="20"/>
    </w:rPr>
  </w:style>
  <w:style w:type="paragraph" w:styleId="CommentSubject">
    <w:name w:val="annotation subject"/>
    <w:basedOn w:val="CommentText"/>
    <w:next w:val="CommentText"/>
    <w:link w:val="CommentSubjectChar"/>
    <w:uiPriority w:val="99"/>
    <w:semiHidden/>
    <w:unhideWhenUsed/>
    <w:rsid w:val="009829AA"/>
    <w:rPr>
      <w:b/>
      <w:bCs/>
    </w:rPr>
  </w:style>
  <w:style w:type="character" w:customStyle="1" w:styleId="CommentSubjectChar">
    <w:name w:val="Comment Subject Char"/>
    <w:basedOn w:val="CommentTextChar"/>
    <w:link w:val="CommentSubject"/>
    <w:uiPriority w:val="99"/>
    <w:semiHidden/>
    <w:rsid w:val="009829AA"/>
    <w:rPr>
      <w:b/>
      <w:bCs/>
      <w:sz w:val="20"/>
      <w:szCs w:val="20"/>
    </w:rPr>
  </w:style>
  <w:style w:type="character" w:customStyle="1" w:styleId="Heading1Char">
    <w:name w:val="Heading 1 Char"/>
    <w:basedOn w:val="DefaultParagraphFont"/>
    <w:link w:val="Heading1"/>
    <w:uiPriority w:val="9"/>
    <w:rsid w:val="00A9500E"/>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6389">
      <w:bodyDiv w:val="1"/>
      <w:marLeft w:val="0"/>
      <w:marRight w:val="0"/>
      <w:marTop w:val="0"/>
      <w:marBottom w:val="0"/>
      <w:divBdr>
        <w:top w:val="none" w:sz="0" w:space="0" w:color="auto"/>
        <w:left w:val="none" w:sz="0" w:space="0" w:color="auto"/>
        <w:bottom w:val="none" w:sz="0" w:space="0" w:color="auto"/>
        <w:right w:val="none" w:sz="0" w:space="0" w:color="auto"/>
      </w:divBdr>
    </w:div>
    <w:div w:id="602616836">
      <w:bodyDiv w:val="1"/>
      <w:marLeft w:val="0"/>
      <w:marRight w:val="0"/>
      <w:marTop w:val="0"/>
      <w:marBottom w:val="0"/>
      <w:divBdr>
        <w:top w:val="none" w:sz="0" w:space="0" w:color="auto"/>
        <w:left w:val="none" w:sz="0" w:space="0" w:color="auto"/>
        <w:bottom w:val="none" w:sz="0" w:space="0" w:color="auto"/>
        <w:right w:val="none" w:sz="0" w:space="0" w:color="auto"/>
      </w:divBdr>
    </w:div>
    <w:div w:id="657806835">
      <w:bodyDiv w:val="1"/>
      <w:marLeft w:val="0"/>
      <w:marRight w:val="0"/>
      <w:marTop w:val="0"/>
      <w:marBottom w:val="0"/>
      <w:divBdr>
        <w:top w:val="none" w:sz="0" w:space="0" w:color="auto"/>
        <w:left w:val="none" w:sz="0" w:space="0" w:color="auto"/>
        <w:bottom w:val="none" w:sz="0" w:space="0" w:color="auto"/>
        <w:right w:val="none" w:sz="0" w:space="0" w:color="auto"/>
      </w:divBdr>
    </w:div>
    <w:div w:id="829835851">
      <w:bodyDiv w:val="1"/>
      <w:marLeft w:val="0"/>
      <w:marRight w:val="0"/>
      <w:marTop w:val="0"/>
      <w:marBottom w:val="0"/>
      <w:divBdr>
        <w:top w:val="none" w:sz="0" w:space="0" w:color="auto"/>
        <w:left w:val="none" w:sz="0" w:space="0" w:color="auto"/>
        <w:bottom w:val="none" w:sz="0" w:space="0" w:color="auto"/>
        <w:right w:val="none" w:sz="0" w:space="0" w:color="auto"/>
      </w:divBdr>
    </w:div>
    <w:div w:id="951400228">
      <w:bodyDiv w:val="1"/>
      <w:marLeft w:val="0"/>
      <w:marRight w:val="0"/>
      <w:marTop w:val="0"/>
      <w:marBottom w:val="0"/>
      <w:divBdr>
        <w:top w:val="none" w:sz="0" w:space="0" w:color="auto"/>
        <w:left w:val="none" w:sz="0" w:space="0" w:color="auto"/>
        <w:bottom w:val="none" w:sz="0" w:space="0" w:color="auto"/>
        <w:right w:val="none" w:sz="0" w:space="0" w:color="auto"/>
      </w:divBdr>
    </w:div>
    <w:div w:id="1174495880">
      <w:bodyDiv w:val="1"/>
      <w:marLeft w:val="0"/>
      <w:marRight w:val="0"/>
      <w:marTop w:val="0"/>
      <w:marBottom w:val="0"/>
      <w:divBdr>
        <w:top w:val="none" w:sz="0" w:space="0" w:color="auto"/>
        <w:left w:val="none" w:sz="0" w:space="0" w:color="auto"/>
        <w:bottom w:val="none" w:sz="0" w:space="0" w:color="auto"/>
        <w:right w:val="none" w:sz="0" w:space="0" w:color="auto"/>
      </w:divBdr>
    </w:div>
    <w:div w:id="1417088689">
      <w:bodyDiv w:val="1"/>
      <w:marLeft w:val="0"/>
      <w:marRight w:val="0"/>
      <w:marTop w:val="0"/>
      <w:marBottom w:val="0"/>
      <w:divBdr>
        <w:top w:val="none" w:sz="0" w:space="0" w:color="auto"/>
        <w:left w:val="none" w:sz="0" w:space="0" w:color="auto"/>
        <w:bottom w:val="none" w:sz="0" w:space="0" w:color="auto"/>
        <w:right w:val="none" w:sz="0" w:space="0" w:color="auto"/>
      </w:divBdr>
    </w:div>
    <w:div w:id="1795640471">
      <w:bodyDiv w:val="1"/>
      <w:marLeft w:val="0"/>
      <w:marRight w:val="0"/>
      <w:marTop w:val="0"/>
      <w:marBottom w:val="0"/>
      <w:divBdr>
        <w:top w:val="none" w:sz="0" w:space="0" w:color="auto"/>
        <w:left w:val="none" w:sz="0" w:space="0" w:color="auto"/>
        <w:bottom w:val="none" w:sz="0" w:space="0" w:color="auto"/>
        <w:right w:val="none" w:sz="0" w:space="0" w:color="auto"/>
      </w:divBdr>
    </w:div>
    <w:div w:id="20071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CFC1-68C2-4D45-A725-4F8494D7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Baudson</dc:creator>
  <cp:lastModifiedBy>BAUDSON Alexandra (OSG)</cp:lastModifiedBy>
  <cp:revision>3</cp:revision>
  <cp:lastPrinted>2017-03-15T13:59:00Z</cp:lastPrinted>
  <dcterms:created xsi:type="dcterms:W3CDTF">2017-04-04T12:16:00Z</dcterms:created>
  <dcterms:modified xsi:type="dcterms:W3CDTF">2017-04-04T12:16:00Z</dcterms:modified>
</cp:coreProperties>
</file>