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0FF7" w14:textId="77777777" w:rsidR="005F3855" w:rsidRPr="00834834" w:rsidRDefault="005F3855" w:rsidP="001C103C">
      <w:pPr>
        <w:rPr>
          <w:lang w:val="fr-BE"/>
        </w:rPr>
      </w:pPr>
      <w:r w:rsidRPr="00834834">
        <w:rPr>
          <w:lang w:val="fr-BE"/>
        </w:rPr>
        <w:t>Ecoles Européennes</w:t>
      </w:r>
    </w:p>
    <w:p w14:paraId="6DD03751" w14:textId="6C60C48C" w:rsidR="005F3855" w:rsidRPr="00834834" w:rsidRDefault="005F3855" w:rsidP="00F66D25">
      <w:pPr>
        <w:rPr>
          <w:rFonts w:ascii="Times New Roman" w:hAnsi="Times New Roman"/>
          <w:sz w:val="24"/>
          <w:lang w:val="fr-BE"/>
        </w:rPr>
      </w:pPr>
      <w:r w:rsidRPr="00834834">
        <w:rPr>
          <w:rFonts w:ascii="Times New Roman" w:hAnsi="Times New Roman"/>
          <w:sz w:val="24"/>
          <w:lang w:val="fr-BE"/>
        </w:rPr>
        <w:t xml:space="preserve">                      </w:t>
      </w:r>
      <w:r w:rsidRPr="00834834">
        <w:rPr>
          <w:rFonts w:ascii="Times New Roman" w:hAnsi="Times New Roman"/>
          <w:sz w:val="24"/>
          <w:lang w:val="fr-BE"/>
        </w:rPr>
        <w:br w:type="textWrapping" w:clear="all"/>
      </w:r>
      <w:r w:rsidRPr="00834834">
        <w:rPr>
          <w:rFonts w:ascii="Times New Roman" w:hAnsi="Times New Roman"/>
          <w:noProof/>
          <w:sz w:val="24"/>
          <w:lang w:val="fr-BE" w:eastAsia="fr-BE"/>
        </w:rPr>
        <w:drawing>
          <wp:inline distT="0" distB="0" distL="0" distR="0" wp14:anchorId="4C3B8F89" wp14:editId="23FE52AA">
            <wp:extent cx="3009643" cy="1028700"/>
            <wp:effectExtent l="0" t="0" r="635" b="0"/>
            <wp:docPr id="1" name="Picture 1" descr="C:\Users\villatjo\AppData\Local\Microsoft\Windows\INetCache\Content.Outlook\ITIYJHPT\logo-ScholaEuropaea-pour documents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atjo\AppData\Local\Microsoft\Windows\INetCache\Content.Outlook\ITIYJHPT\logo-ScholaEuropaea-pour documents (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257" cy="1032670"/>
                    </a:xfrm>
                    <a:prstGeom prst="rect">
                      <a:avLst/>
                    </a:prstGeom>
                    <a:noFill/>
                    <a:ln>
                      <a:noFill/>
                    </a:ln>
                  </pic:spPr>
                </pic:pic>
              </a:graphicData>
            </a:graphic>
          </wp:inline>
        </w:drawing>
      </w:r>
      <w:r w:rsidRPr="00834834">
        <w:rPr>
          <w:rFonts w:ascii="Times New Roman" w:hAnsi="Times New Roman"/>
          <w:sz w:val="24"/>
          <w:lang w:val="fr-BE"/>
        </w:rPr>
        <w:t xml:space="preserve">      </w:t>
      </w:r>
    </w:p>
    <w:p w14:paraId="67E6FE68" w14:textId="77777777" w:rsidR="005F3855" w:rsidRPr="00834834" w:rsidRDefault="005F3855" w:rsidP="00F66D25">
      <w:pPr>
        <w:rPr>
          <w:rFonts w:ascii="Times New Roman" w:hAnsi="Times New Roman"/>
          <w:lang w:val="fr-BE"/>
        </w:rPr>
      </w:pPr>
    </w:p>
    <w:p w14:paraId="23BACFD9" w14:textId="2F5D0B1F" w:rsidR="005F3855" w:rsidRPr="003F454C" w:rsidRDefault="005F3855" w:rsidP="00F66D25">
      <w:pPr>
        <w:rPr>
          <w:rFonts w:cs="Arial"/>
          <w:b/>
          <w:sz w:val="28"/>
          <w:szCs w:val="28"/>
          <w:lang w:val="fr-BE"/>
        </w:rPr>
      </w:pPr>
      <w:r w:rsidRPr="003F454C">
        <w:rPr>
          <w:rFonts w:cs="Arial"/>
          <w:b/>
          <w:sz w:val="28"/>
          <w:szCs w:val="28"/>
          <w:lang w:val="fr-BE"/>
        </w:rPr>
        <w:t xml:space="preserve">Ref.: </w:t>
      </w:r>
      <w:r w:rsidR="003F7B55" w:rsidRPr="003F454C">
        <w:rPr>
          <w:rFonts w:cs="Arial"/>
          <w:b/>
          <w:sz w:val="28"/>
          <w:szCs w:val="28"/>
          <w:lang w:val="fr-BE"/>
        </w:rPr>
        <w:t>2017-12-D-21-fr-2</w:t>
      </w:r>
    </w:p>
    <w:p w14:paraId="661C01A7" w14:textId="3970DC5A" w:rsidR="005F3855" w:rsidRPr="007673A5" w:rsidRDefault="005F3855" w:rsidP="00F66D25">
      <w:pPr>
        <w:rPr>
          <w:rFonts w:cs="Arial"/>
          <w:b/>
          <w:sz w:val="28"/>
          <w:szCs w:val="28"/>
          <w:lang w:val="de-DE"/>
        </w:rPr>
      </w:pPr>
      <w:r w:rsidRPr="007673A5">
        <w:rPr>
          <w:rFonts w:cs="Arial"/>
          <w:b/>
          <w:sz w:val="28"/>
          <w:szCs w:val="28"/>
          <w:lang w:val="de-DE"/>
        </w:rPr>
        <w:t>Orig.: EN</w:t>
      </w:r>
    </w:p>
    <w:p w14:paraId="39C24D8D" w14:textId="3865E589" w:rsidR="00B922EB" w:rsidRPr="007673A5" w:rsidRDefault="00B922EB" w:rsidP="00F66D25">
      <w:pPr>
        <w:rPr>
          <w:rFonts w:cs="Arial"/>
          <w:b/>
          <w:bCs/>
          <w:sz w:val="28"/>
          <w:szCs w:val="28"/>
          <w:lang w:val="de-DE"/>
        </w:rPr>
      </w:pPr>
      <w:proofErr w:type="gramStart"/>
      <w:r w:rsidRPr="007673A5">
        <w:rPr>
          <w:rFonts w:cs="Arial"/>
          <w:b/>
          <w:bCs/>
          <w:sz w:val="28"/>
          <w:szCs w:val="28"/>
          <w:lang w:val="de-DE"/>
        </w:rPr>
        <w:t>Version :</w:t>
      </w:r>
      <w:proofErr w:type="gramEnd"/>
      <w:r w:rsidRPr="007673A5">
        <w:rPr>
          <w:rFonts w:cs="Arial"/>
          <w:b/>
          <w:bCs/>
          <w:sz w:val="28"/>
          <w:szCs w:val="28"/>
          <w:lang w:val="de-DE"/>
        </w:rPr>
        <w:t xml:space="preserve"> FR</w:t>
      </w:r>
    </w:p>
    <w:p w14:paraId="5B785675" w14:textId="77777777" w:rsidR="005F3855" w:rsidRPr="007673A5" w:rsidRDefault="005F3855" w:rsidP="00F66D25">
      <w:pPr>
        <w:rPr>
          <w:rFonts w:ascii="Times New Roman" w:hAnsi="Times New Roman"/>
          <w:b/>
          <w:sz w:val="28"/>
          <w:szCs w:val="28"/>
          <w:lang w:val="de-DE"/>
        </w:rPr>
      </w:pPr>
    </w:p>
    <w:p w14:paraId="17987395" w14:textId="777B118D" w:rsidR="003F7B55" w:rsidRPr="00834834" w:rsidRDefault="0044072F" w:rsidP="003F7B55">
      <w:pPr>
        <w:jc w:val="center"/>
        <w:rPr>
          <w:color w:val="003399"/>
          <w:sz w:val="40"/>
          <w:szCs w:val="48"/>
          <w:lang w:val="fr-BE" w:eastAsia="fr-FR"/>
        </w:rPr>
      </w:pPr>
      <w:r w:rsidRPr="007673A5">
        <w:rPr>
          <w:rFonts w:ascii="Times New Roman" w:hAnsi="Times New Roman"/>
          <w:sz w:val="28"/>
          <w:u w:val="single"/>
          <w:lang w:val="de-DE"/>
        </w:rPr>
        <w:br w:type="textWrapping" w:clear="all"/>
      </w:r>
      <w:r w:rsidR="003F7B55" w:rsidRPr="00834834">
        <w:rPr>
          <w:b/>
          <w:noProof/>
          <w:lang w:val="fr-BE" w:eastAsia="fr-BE"/>
        </w:rPr>
        <w:drawing>
          <wp:inline distT="0" distB="0" distL="0" distR="0" wp14:anchorId="45741E78" wp14:editId="12C1AA5A">
            <wp:extent cx="6230620" cy="281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0620" cy="281940"/>
                    </a:xfrm>
                    <a:prstGeom prst="rect">
                      <a:avLst/>
                    </a:prstGeom>
                    <a:noFill/>
                  </pic:spPr>
                </pic:pic>
              </a:graphicData>
            </a:graphic>
          </wp:inline>
        </w:drawing>
      </w:r>
    </w:p>
    <w:p w14:paraId="06750CCD" w14:textId="5773FC07" w:rsidR="003F7B55" w:rsidRPr="00834834" w:rsidRDefault="003F7B55" w:rsidP="003F7B55">
      <w:pPr>
        <w:pStyle w:val="DocumentTitle"/>
        <w:rPr>
          <w:color w:val="003399"/>
          <w:sz w:val="40"/>
          <w:szCs w:val="48"/>
          <w:lang w:val="fr-BE" w:eastAsia="fr-FR"/>
        </w:rPr>
      </w:pPr>
      <w:r w:rsidRPr="00834834">
        <w:rPr>
          <w:color w:val="003399"/>
          <w:sz w:val="40"/>
          <w:szCs w:val="48"/>
          <w:lang w:val="fr-BE" w:eastAsia="fr-FR"/>
        </w:rPr>
        <w:t>Règlement Financier applicable au Budget des Ecoles Européennes</w:t>
      </w:r>
    </w:p>
    <w:p w14:paraId="0A53ECC2" w14:textId="4206F32F" w:rsidR="003F7B55" w:rsidRPr="00834834" w:rsidRDefault="003F7B55" w:rsidP="003F7B55">
      <w:pPr>
        <w:rPr>
          <w:rFonts w:eastAsia="Times"/>
          <w:b/>
          <w:color w:val="3D98D1"/>
          <w:sz w:val="28"/>
          <w:szCs w:val="28"/>
          <w:lang w:val="fr-BE" w:eastAsia="fr-FR"/>
        </w:rPr>
      </w:pPr>
      <w:r w:rsidRPr="00834834">
        <w:rPr>
          <w:rFonts w:eastAsia="Times"/>
          <w:b/>
          <w:color w:val="3D98D1"/>
          <w:sz w:val="28"/>
          <w:szCs w:val="28"/>
          <w:lang w:val="fr-BE" w:eastAsia="fr-FR"/>
        </w:rPr>
        <w:t>Décision du Conseil Supérieur du 5 Septembre 2017 (procédure écrite N° 2017/46 initié au 18 Aout, terminé au 5 Septembre 2017) - Document 2017-02-D-13-en-3</w:t>
      </w:r>
      <w:r w:rsidR="006C1BAA" w:rsidRPr="00834834">
        <w:rPr>
          <w:rFonts w:eastAsia="Times"/>
          <w:b/>
          <w:color w:val="3D98D1"/>
          <w:sz w:val="28"/>
          <w:szCs w:val="28"/>
          <w:lang w:val="fr-BE" w:eastAsia="fr-FR"/>
        </w:rPr>
        <w:t xml:space="preserve"> - Annexe 1</w:t>
      </w:r>
    </w:p>
    <w:p w14:paraId="05EEE723" w14:textId="30C9D7D4" w:rsidR="003F7B55" w:rsidRPr="00834834" w:rsidRDefault="003F7B55" w:rsidP="007673A5">
      <w:pPr>
        <w:rPr>
          <w:rFonts w:ascii="Times New Roman" w:hAnsi="Times New Roman"/>
          <w:bCs/>
          <w:sz w:val="28"/>
          <w:szCs w:val="24"/>
          <w:lang w:val="fr-BE"/>
        </w:rPr>
      </w:pPr>
      <w:r w:rsidRPr="00834834">
        <w:rPr>
          <w:rFonts w:eastAsia="Times"/>
          <w:color w:val="686657"/>
          <w:sz w:val="20"/>
          <w:szCs w:val="20"/>
          <w:lang w:val="fr-BE" w:eastAsia="fr-FR"/>
        </w:rPr>
        <w:t xml:space="preserve">Modifié par décision du Conseil Supérieur lors de sa réunion du 1-3 décembre 2020 - </w:t>
      </w:r>
      <w:proofErr w:type="gramStart"/>
      <w:r w:rsidRPr="00834834">
        <w:rPr>
          <w:rFonts w:eastAsia="Times"/>
          <w:color w:val="686657"/>
          <w:sz w:val="20"/>
          <w:szCs w:val="20"/>
          <w:lang w:val="fr-BE" w:eastAsia="fr-FR"/>
        </w:rPr>
        <w:t>Document  2020</w:t>
      </w:r>
      <w:proofErr w:type="gramEnd"/>
      <w:r w:rsidRPr="00834834">
        <w:rPr>
          <w:rFonts w:eastAsia="Times"/>
          <w:color w:val="686657"/>
          <w:sz w:val="20"/>
          <w:szCs w:val="20"/>
          <w:lang w:val="fr-BE" w:eastAsia="fr-FR"/>
        </w:rPr>
        <w:t>-02-D-41-fr-5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7C4C55" w:rsidRPr="00AA2867" w14:paraId="15253991" w14:textId="77777777" w:rsidTr="00E141B5">
        <w:trPr>
          <w:trHeight w:val="70"/>
        </w:trPr>
        <w:tc>
          <w:tcPr>
            <w:tcW w:w="10031" w:type="dxa"/>
          </w:tcPr>
          <w:p w14:paraId="0ADF4AAE" w14:textId="1FD7AA80" w:rsidR="004D3D37" w:rsidRPr="00834834" w:rsidRDefault="00E23E2D" w:rsidP="003E5105">
            <w:pPr>
              <w:pStyle w:val="Heading2"/>
              <w:rPr>
                <w:rFonts w:cs="Arial"/>
                <w:lang w:val="fr-BE"/>
              </w:rPr>
            </w:pPr>
            <w:r w:rsidRPr="00834834">
              <w:rPr>
                <w:rFonts w:cs="Arial"/>
                <w:lang w:val="fr-BE"/>
              </w:rPr>
              <w:lastRenderedPageBreak/>
              <w:t>Structure </w:t>
            </w:r>
          </w:p>
          <w:p w14:paraId="3340A551" w14:textId="6424F3ED" w:rsidR="004D3D37" w:rsidRPr="00834834" w:rsidRDefault="004D3D37" w:rsidP="001C103C">
            <w:pPr>
              <w:pStyle w:val="Subtitle"/>
              <w:rPr>
                <w:rFonts w:cs="Arial"/>
                <w:lang w:val="fr-BE"/>
              </w:rPr>
            </w:pPr>
            <w:r w:rsidRPr="00834834">
              <w:rPr>
                <w:rFonts w:cs="Arial"/>
                <w:lang w:val="fr-BE"/>
              </w:rPr>
              <w:t>Titre I (</w:t>
            </w:r>
            <w:r w:rsidRPr="00834834">
              <w:rPr>
                <w:rFonts w:cs="Arial"/>
                <w:bCs/>
                <w:lang w:val="fr-BE"/>
              </w:rPr>
              <w:t>art.</w:t>
            </w:r>
            <w:r w:rsidRPr="00834834">
              <w:rPr>
                <w:rFonts w:cs="Arial"/>
                <w:lang w:val="fr-BE"/>
              </w:rPr>
              <w:t> 1-19)</w:t>
            </w:r>
            <w:r w:rsidRPr="00834834">
              <w:rPr>
                <w:rFonts w:cs="Arial"/>
                <w:lang w:val="fr-BE"/>
              </w:rPr>
              <w:br/>
              <w:t>Principes généraux</w:t>
            </w:r>
          </w:p>
          <w:p w14:paraId="3784B46A" w14:textId="77777777" w:rsidR="001C103C" w:rsidRPr="00834834" w:rsidRDefault="004D3D37" w:rsidP="00F66D25">
            <w:pPr>
              <w:outlineLvl w:val="0"/>
              <w:rPr>
                <w:rStyle w:val="SubtitleChar"/>
                <w:rFonts w:cs="Arial"/>
                <w:lang w:val="fr-BE"/>
              </w:rPr>
            </w:pPr>
            <w:r w:rsidRPr="00834834">
              <w:rPr>
                <w:rStyle w:val="SubtitleChar"/>
                <w:rFonts w:cs="Arial"/>
                <w:lang w:val="fr-BE"/>
              </w:rPr>
              <w:t>Titre II</w:t>
            </w:r>
            <w:r w:rsidRPr="00834834">
              <w:rPr>
                <w:rStyle w:val="SubtitleChar"/>
                <w:rFonts w:cs="Arial"/>
                <w:lang w:val="fr-BE"/>
              </w:rPr>
              <w:br/>
              <w:t>Établissement et structure du budget</w:t>
            </w:r>
          </w:p>
          <w:p w14:paraId="4F56B5BD" w14:textId="77777777" w:rsidR="003E5105" w:rsidRPr="00834834" w:rsidRDefault="004D3D37" w:rsidP="00F66D25">
            <w:pPr>
              <w:outlineLvl w:val="0"/>
              <w:rPr>
                <w:rFonts w:cs="Arial"/>
                <w:lang w:val="fr-BE"/>
              </w:rPr>
            </w:pPr>
            <w:r w:rsidRPr="00834834">
              <w:rPr>
                <w:rFonts w:cs="Arial"/>
                <w:lang w:val="fr-BE"/>
              </w:rPr>
              <w:t xml:space="preserve">Section I : </w:t>
            </w:r>
            <w:r w:rsidR="00D0034C" w:rsidRPr="00834834">
              <w:rPr>
                <w:rFonts w:cs="Arial"/>
                <w:lang w:val="fr-BE"/>
              </w:rPr>
              <w:t>É</w:t>
            </w:r>
            <w:r w:rsidRPr="00834834">
              <w:rPr>
                <w:rFonts w:cs="Arial"/>
                <w:lang w:val="fr-BE"/>
              </w:rPr>
              <w:t>tablissement du budget (art. 20-24)</w:t>
            </w:r>
          </w:p>
          <w:p w14:paraId="5212DF6E" w14:textId="14EFD1F7" w:rsidR="004D3D37" w:rsidRPr="00834834" w:rsidRDefault="004D3D37" w:rsidP="00F66D25">
            <w:pPr>
              <w:outlineLvl w:val="0"/>
              <w:rPr>
                <w:rFonts w:cs="Arial"/>
                <w:sz w:val="24"/>
                <w:szCs w:val="24"/>
                <w:lang w:val="fr-BE"/>
              </w:rPr>
            </w:pPr>
            <w:r w:rsidRPr="00834834">
              <w:rPr>
                <w:rFonts w:cs="Arial"/>
                <w:lang w:val="fr-BE"/>
              </w:rPr>
              <w:t>Section II : Structure et présentation du</w:t>
            </w:r>
            <w:r w:rsidRPr="00834834">
              <w:rPr>
                <w:rFonts w:cs="Arial"/>
                <w:sz w:val="24"/>
                <w:szCs w:val="24"/>
                <w:lang w:val="fr-BE"/>
              </w:rPr>
              <w:t xml:space="preserve"> budget (</w:t>
            </w:r>
            <w:r w:rsidRPr="00834834">
              <w:rPr>
                <w:rFonts w:cs="Arial"/>
                <w:bCs/>
                <w:sz w:val="24"/>
                <w:szCs w:val="24"/>
                <w:lang w:val="fr-BE"/>
              </w:rPr>
              <w:t>art.</w:t>
            </w:r>
            <w:r w:rsidR="000D27D3" w:rsidRPr="00834834">
              <w:rPr>
                <w:rFonts w:cs="Arial"/>
                <w:sz w:val="24"/>
                <w:szCs w:val="24"/>
                <w:lang w:val="fr-BE"/>
              </w:rPr>
              <w:t> 25-26)</w:t>
            </w:r>
          </w:p>
          <w:p w14:paraId="72F21658" w14:textId="77777777" w:rsidR="001C103C" w:rsidRPr="00834834" w:rsidRDefault="004D3D37" w:rsidP="00F66D25">
            <w:pPr>
              <w:outlineLvl w:val="0"/>
              <w:rPr>
                <w:rFonts w:cs="Arial"/>
                <w:sz w:val="24"/>
                <w:szCs w:val="24"/>
                <w:u w:val="single"/>
                <w:lang w:val="fr-BE"/>
              </w:rPr>
            </w:pPr>
            <w:r w:rsidRPr="00834834">
              <w:rPr>
                <w:rStyle w:val="SubtitleChar"/>
                <w:rFonts w:cs="Arial"/>
                <w:lang w:val="fr-BE"/>
              </w:rPr>
              <w:t>Titre III</w:t>
            </w:r>
            <w:r w:rsidRPr="00834834">
              <w:rPr>
                <w:rStyle w:val="SubtitleChar"/>
                <w:rFonts w:cs="Arial"/>
                <w:lang w:val="fr-BE"/>
              </w:rPr>
              <w:br/>
              <w:t>Exécution d</w:t>
            </w:r>
            <w:r w:rsidRPr="00834834">
              <w:rPr>
                <w:rFonts w:cs="Arial"/>
                <w:sz w:val="24"/>
                <w:szCs w:val="24"/>
                <w:u w:val="single"/>
                <w:lang w:val="fr-BE"/>
              </w:rPr>
              <w:t>u budget</w:t>
            </w:r>
          </w:p>
          <w:p w14:paraId="5324B12A" w14:textId="77777777" w:rsidR="003E5105" w:rsidRPr="00834834" w:rsidRDefault="004D3D37" w:rsidP="003E5105">
            <w:pPr>
              <w:rPr>
                <w:rFonts w:cs="Arial"/>
                <w:lang w:val="fr-BE"/>
              </w:rPr>
            </w:pPr>
            <w:r w:rsidRPr="00834834">
              <w:rPr>
                <w:rFonts w:cs="Arial"/>
                <w:lang w:val="fr-BE"/>
              </w:rPr>
              <w:t>Section I : Acteurs financiers (</w:t>
            </w:r>
            <w:r w:rsidRPr="00834834">
              <w:rPr>
                <w:rFonts w:cs="Arial"/>
                <w:bCs/>
                <w:lang w:val="fr-BE"/>
              </w:rPr>
              <w:t>art.</w:t>
            </w:r>
            <w:r w:rsidRPr="00834834">
              <w:rPr>
                <w:rFonts w:cs="Arial"/>
                <w:lang w:val="fr-BE"/>
              </w:rPr>
              <w:t> 27-37)</w:t>
            </w:r>
          </w:p>
          <w:p w14:paraId="37A8679D" w14:textId="77777777" w:rsidR="003E5105" w:rsidRPr="00834834" w:rsidRDefault="004D3D37" w:rsidP="003E5105">
            <w:pPr>
              <w:rPr>
                <w:rFonts w:cs="Arial"/>
                <w:lang w:val="fr-BE"/>
              </w:rPr>
            </w:pPr>
            <w:r w:rsidRPr="00834834">
              <w:rPr>
                <w:rFonts w:cs="Arial"/>
                <w:lang w:val="fr-BE"/>
              </w:rPr>
              <w:t>Section II : Responsabilité des acteurs financiers (</w:t>
            </w:r>
            <w:r w:rsidRPr="00834834">
              <w:rPr>
                <w:rFonts w:cs="Arial"/>
                <w:bCs/>
                <w:lang w:val="fr-BE"/>
              </w:rPr>
              <w:t>art.</w:t>
            </w:r>
            <w:r w:rsidRPr="00834834">
              <w:rPr>
                <w:rFonts w:cs="Arial"/>
                <w:lang w:val="fr-BE"/>
              </w:rPr>
              <w:t> 38-43)</w:t>
            </w:r>
          </w:p>
          <w:p w14:paraId="3E6D5C19" w14:textId="77777777" w:rsidR="003E5105" w:rsidRPr="00834834" w:rsidRDefault="004D3D37" w:rsidP="003E5105">
            <w:pPr>
              <w:rPr>
                <w:rFonts w:cs="Arial"/>
                <w:lang w:val="fr-BE"/>
              </w:rPr>
            </w:pPr>
            <w:r w:rsidRPr="00834834">
              <w:rPr>
                <w:rFonts w:cs="Arial"/>
                <w:lang w:val="fr-BE"/>
              </w:rPr>
              <w:t>Section III : Fonction d</w:t>
            </w:r>
            <w:r w:rsidR="00D0034C" w:rsidRPr="00834834">
              <w:rPr>
                <w:rFonts w:cs="Arial"/>
                <w:lang w:val="fr-BE"/>
              </w:rPr>
              <w:t>’</w:t>
            </w:r>
            <w:r w:rsidRPr="00834834">
              <w:rPr>
                <w:rFonts w:cs="Arial"/>
                <w:lang w:val="fr-BE"/>
              </w:rPr>
              <w:t>audit interne (</w:t>
            </w:r>
            <w:r w:rsidRPr="00834834">
              <w:rPr>
                <w:rFonts w:cs="Arial"/>
                <w:bCs/>
                <w:lang w:val="fr-BE"/>
              </w:rPr>
              <w:t>art.</w:t>
            </w:r>
            <w:r w:rsidRPr="00834834">
              <w:rPr>
                <w:rFonts w:cs="Arial"/>
                <w:lang w:val="fr-BE"/>
              </w:rPr>
              <w:t> 44-46)</w:t>
            </w:r>
          </w:p>
          <w:p w14:paraId="4BD5A04D" w14:textId="77777777" w:rsidR="003E5105" w:rsidRPr="00834834" w:rsidRDefault="004D3D37" w:rsidP="003E5105">
            <w:pPr>
              <w:rPr>
                <w:rFonts w:cs="Arial"/>
                <w:lang w:val="fr-BE"/>
              </w:rPr>
            </w:pPr>
            <w:r w:rsidRPr="00834834">
              <w:rPr>
                <w:rFonts w:cs="Arial"/>
                <w:lang w:val="fr-BE"/>
              </w:rPr>
              <w:t>Section IV : Opérations de recettes (</w:t>
            </w:r>
            <w:r w:rsidRPr="00834834">
              <w:rPr>
                <w:rFonts w:cs="Arial"/>
                <w:bCs/>
                <w:lang w:val="fr-BE"/>
              </w:rPr>
              <w:t>art.</w:t>
            </w:r>
            <w:r w:rsidRPr="00834834">
              <w:rPr>
                <w:rFonts w:cs="Arial"/>
                <w:lang w:val="fr-BE"/>
              </w:rPr>
              <w:t> 47-53)</w:t>
            </w:r>
          </w:p>
          <w:p w14:paraId="35F03914" w14:textId="77777777" w:rsidR="003E5105" w:rsidRPr="00834834" w:rsidRDefault="004D3D37" w:rsidP="003E5105">
            <w:pPr>
              <w:rPr>
                <w:rFonts w:cs="Arial"/>
                <w:lang w:val="fr-BE"/>
              </w:rPr>
            </w:pPr>
            <w:r w:rsidRPr="00834834">
              <w:rPr>
                <w:rFonts w:cs="Arial"/>
                <w:lang w:val="fr-BE"/>
              </w:rPr>
              <w:t>Section V : Opérations de dépenses (</w:t>
            </w:r>
            <w:r w:rsidRPr="00834834">
              <w:rPr>
                <w:rFonts w:cs="Arial"/>
                <w:bCs/>
                <w:lang w:val="fr-BE"/>
              </w:rPr>
              <w:t>art.</w:t>
            </w:r>
            <w:r w:rsidRPr="00834834">
              <w:rPr>
                <w:rFonts w:cs="Arial"/>
                <w:lang w:val="fr-BE"/>
              </w:rPr>
              <w:t> 54-64)</w:t>
            </w:r>
          </w:p>
          <w:p w14:paraId="391251FB" w14:textId="5D73938C" w:rsidR="00047510" w:rsidRPr="00834834" w:rsidRDefault="004D3D37" w:rsidP="003E5105">
            <w:pPr>
              <w:rPr>
                <w:rFonts w:cs="Arial"/>
                <w:lang w:val="fr-BE"/>
              </w:rPr>
            </w:pPr>
            <w:r w:rsidRPr="00834834">
              <w:rPr>
                <w:rFonts w:cs="Arial"/>
                <w:lang w:val="fr-BE"/>
              </w:rPr>
              <w:t>Section VI : Gestion des emplois (</w:t>
            </w:r>
            <w:r w:rsidRPr="00834834">
              <w:rPr>
                <w:rFonts w:cs="Arial"/>
                <w:bCs/>
                <w:lang w:val="fr-BE"/>
              </w:rPr>
              <w:t>art.</w:t>
            </w:r>
            <w:r w:rsidRPr="00834834">
              <w:rPr>
                <w:rFonts w:cs="Arial"/>
                <w:lang w:val="fr-BE"/>
              </w:rPr>
              <w:t> 65)</w:t>
            </w:r>
          </w:p>
          <w:p w14:paraId="0EDFEDEB" w14:textId="4937229E" w:rsidR="008F5853" w:rsidRPr="00834834" w:rsidRDefault="00047510" w:rsidP="003E5105">
            <w:pPr>
              <w:pStyle w:val="Subtitle"/>
              <w:rPr>
                <w:rFonts w:cs="Arial"/>
                <w:lang w:val="fr-BE"/>
              </w:rPr>
            </w:pPr>
            <w:r w:rsidRPr="00834834">
              <w:rPr>
                <w:rStyle w:val="SubtitleChar"/>
                <w:rFonts w:cs="Arial"/>
                <w:lang w:val="fr-BE"/>
              </w:rPr>
              <w:t>Titre IV</w:t>
            </w:r>
            <w:r w:rsidRPr="00834834">
              <w:rPr>
                <w:rStyle w:val="SubtitleChar"/>
                <w:rFonts w:cs="Arial"/>
                <w:lang w:val="fr-BE"/>
              </w:rPr>
              <w:br/>
              <w:t>La passation</w:t>
            </w:r>
            <w:r w:rsidRPr="00834834">
              <w:rPr>
                <w:rFonts w:cs="Arial"/>
                <w:lang w:val="fr-BE"/>
              </w:rPr>
              <w:t xml:space="preserve"> des marchés publics (</w:t>
            </w:r>
            <w:r w:rsidRPr="00834834">
              <w:rPr>
                <w:rFonts w:cs="Arial"/>
                <w:bCs/>
                <w:lang w:val="fr-BE"/>
              </w:rPr>
              <w:t>art.</w:t>
            </w:r>
            <w:r w:rsidRPr="00834834">
              <w:rPr>
                <w:rFonts w:cs="Arial"/>
                <w:lang w:val="fr-BE"/>
              </w:rPr>
              <w:t> 66)</w:t>
            </w:r>
          </w:p>
          <w:p w14:paraId="2F364909" w14:textId="77777777" w:rsidR="003E5105" w:rsidRPr="00834834" w:rsidRDefault="008F5853" w:rsidP="003E5105">
            <w:pPr>
              <w:pStyle w:val="Subtitle"/>
              <w:rPr>
                <w:rFonts w:cs="Arial"/>
                <w:lang w:val="fr-BE"/>
              </w:rPr>
            </w:pPr>
            <w:r w:rsidRPr="00834834">
              <w:rPr>
                <w:rStyle w:val="SubtitleChar"/>
                <w:rFonts w:cs="Arial"/>
                <w:lang w:val="fr-BE"/>
              </w:rPr>
              <w:t>Titre V</w:t>
            </w:r>
            <w:r w:rsidRPr="00834834">
              <w:rPr>
                <w:rStyle w:val="SubtitleChar"/>
                <w:rFonts w:cs="Arial"/>
                <w:lang w:val="fr-BE"/>
              </w:rPr>
              <w:br/>
              <w:t>Présentation</w:t>
            </w:r>
            <w:r w:rsidRPr="00834834">
              <w:rPr>
                <w:rFonts w:cs="Arial"/>
                <w:lang w:val="fr-BE"/>
              </w:rPr>
              <w:t xml:space="preserve"> des comptes et comptabilité</w:t>
            </w:r>
          </w:p>
          <w:p w14:paraId="46E58E69" w14:textId="19BAD2D1" w:rsidR="003E5105" w:rsidRPr="00834834" w:rsidRDefault="008F5853" w:rsidP="006C0966">
            <w:pPr>
              <w:rPr>
                <w:lang w:val="fr-BE"/>
              </w:rPr>
            </w:pPr>
            <w:r w:rsidRPr="00834834">
              <w:rPr>
                <w:lang w:val="fr-BE"/>
              </w:rPr>
              <w:t>Section I : Présentation des comptes (</w:t>
            </w:r>
            <w:r w:rsidRPr="00834834">
              <w:rPr>
                <w:bCs/>
                <w:lang w:val="fr-BE"/>
              </w:rPr>
              <w:t>art.</w:t>
            </w:r>
            <w:r w:rsidRPr="00834834">
              <w:rPr>
                <w:lang w:val="fr-BE"/>
              </w:rPr>
              <w:t> 67-74)</w:t>
            </w:r>
          </w:p>
          <w:p w14:paraId="4635D1B4" w14:textId="77777777" w:rsidR="003E5105" w:rsidRPr="00834834" w:rsidRDefault="008F5853" w:rsidP="006C0966">
            <w:pPr>
              <w:rPr>
                <w:lang w:val="fr-BE"/>
              </w:rPr>
            </w:pPr>
            <w:r w:rsidRPr="00834834">
              <w:rPr>
                <w:lang w:val="fr-BE"/>
              </w:rPr>
              <w:t>Section II : Comptabilité (</w:t>
            </w:r>
            <w:r w:rsidRPr="00834834">
              <w:rPr>
                <w:bCs/>
                <w:lang w:val="fr-BE"/>
              </w:rPr>
              <w:t>art.</w:t>
            </w:r>
            <w:r w:rsidRPr="00834834">
              <w:rPr>
                <w:lang w:val="fr-BE"/>
              </w:rPr>
              <w:t> 75-81)</w:t>
            </w:r>
          </w:p>
          <w:p w14:paraId="3FB6FAC8" w14:textId="6F951AE6" w:rsidR="00F76CD8" w:rsidRPr="00834834" w:rsidRDefault="008F5853" w:rsidP="006C0966">
            <w:pPr>
              <w:rPr>
                <w:lang w:val="fr-BE"/>
              </w:rPr>
            </w:pPr>
            <w:r w:rsidRPr="00834834">
              <w:rPr>
                <w:lang w:val="fr-BE"/>
              </w:rPr>
              <w:t>Section III : Inventaire des immobilisations (</w:t>
            </w:r>
            <w:r w:rsidRPr="00834834">
              <w:rPr>
                <w:bCs/>
                <w:lang w:val="fr-BE"/>
              </w:rPr>
              <w:t>art.</w:t>
            </w:r>
            <w:r w:rsidRPr="00834834">
              <w:rPr>
                <w:lang w:val="fr-BE"/>
              </w:rPr>
              <w:t> 82-85)</w:t>
            </w:r>
          </w:p>
          <w:p w14:paraId="59499375" w14:textId="77777777" w:rsidR="003E5105" w:rsidRPr="00834834" w:rsidRDefault="00B05B16" w:rsidP="003E5105">
            <w:pPr>
              <w:pStyle w:val="Subtitle"/>
              <w:rPr>
                <w:rFonts w:cs="Arial"/>
                <w:lang w:val="fr-BE"/>
              </w:rPr>
            </w:pPr>
            <w:r w:rsidRPr="00834834">
              <w:rPr>
                <w:rFonts w:cs="Arial"/>
                <w:lang w:val="fr-BE"/>
              </w:rPr>
              <w:t>Titre VI</w:t>
            </w:r>
            <w:r w:rsidRPr="00834834">
              <w:rPr>
                <w:rFonts w:cs="Arial"/>
                <w:lang w:val="fr-BE"/>
              </w:rPr>
              <w:br/>
              <w:t>Contrôle externe et décharge</w:t>
            </w:r>
          </w:p>
          <w:p w14:paraId="12820085" w14:textId="77777777" w:rsidR="003E5105" w:rsidRPr="00834834" w:rsidRDefault="00B05B16" w:rsidP="003E5105">
            <w:pPr>
              <w:rPr>
                <w:rFonts w:cs="Arial"/>
                <w:lang w:val="fr-BE"/>
              </w:rPr>
            </w:pPr>
            <w:r w:rsidRPr="00834834">
              <w:rPr>
                <w:rFonts w:cs="Arial"/>
                <w:lang w:val="fr-BE"/>
              </w:rPr>
              <w:t>Section I : Contrôle externe (</w:t>
            </w:r>
            <w:r w:rsidRPr="00834834">
              <w:rPr>
                <w:rFonts w:cs="Arial"/>
                <w:bCs/>
                <w:lang w:val="fr-BE"/>
              </w:rPr>
              <w:t>art. </w:t>
            </w:r>
            <w:r w:rsidRPr="00834834">
              <w:rPr>
                <w:rFonts w:cs="Arial"/>
                <w:lang w:val="fr-BE"/>
              </w:rPr>
              <w:t>86)</w:t>
            </w:r>
          </w:p>
          <w:p w14:paraId="69BF9D26" w14:textId="76AAD388" w:rsidR="00885ADE" w:rsidRPr="00834834" w:rsidRDefault="00B05B16" w:rsidP="003E5105">
            <w:pPr>
              <w:rPr>
                <w:rFonts w:cs="Arial"/>
                <w:lang w:val="fr-BE"/>
              </w:rPr>
            </w:pPr>
            <w:r w:rsidRPr="00834834">
              <w:rPr>
                <w:rFonts w:cs="Arial"/>
                <w:lang w:val="fr-BE"/>
              </w:rPr>
              <w:t>Section II : Décharge (</w:t>
            </w:r>
            <w:r w:rsidRPr="00834834">
              <w:rPr>
                <w:rFonts w:cs="Arial"/>
                <w:bCs/>
                <w:lang w:val="fr-BE"/>
              </w:rPr>
              <w:t>art.</w:t>
            </w:r>
            <w:r w:rsidRPr="00834834">
              <w:rPr>
                <w:rFonts w:cs="Arial"/>
                <w:lang w:val="fr-BE"/>
              </w:rPr>
              <w:t> 87-88)</w:t>
            </w:r>
          </w:p>
          <w:p w14:paraId="76FCBA7B" w14:textId="18C9F1E9" w:rsidR="00534E8E" w:rsidRPr="00834834" w:rsidRDefault="00106175" w:rsidP="003E5105">
            <w:pPr>
              <w:pStyle w:val="Subtitle"/>
              <w:rPr>
                <w:rFonts w:cs="Arial"/>
                <w:lang w:val="fr-BE"/>
              </w:rPr>
            </w:pPr>
            <w:r w:rsidRPr="00834834">
              <w:rPr>
                <w:rFonts w:cs="Arial"/>
                <w:lang w:val="fr-BE"/>
              </w:rPr>
              <w:t>Titre VII</w:t>
            </w:r>
            <w:r w:rsidRPr="00834834">
              <w:rPr>
                <w:rFonts w:cs="Arial"/>
                <w:lang w:val="fr-BE"/>
              </w:rPr>
              <w:br/>
              <w:t>Fonds de réserve (</w:t>
            </w:r>
            <w:r w:rsidRPr="00834834">
              <w:rPr>
                <w:rFonts w:cs="Arial"/>
                <w:bCs/>
                <w:lang w:val="fr-BE"/>
              </w:rPr>
              <w:t>art.</w:t>
            </w:r>
            <w:r w:rsidRPr="00834834">
              <w:rPr>
                <w:rFonts w:cs="Arial"/>
                <w:lang w:val="fr-BE"/>
              </w:rPr>
              <w:t> 89-94)</w:t>
            </w:r>
          </w:p>
          <w:p w14:paraId="588AEE4D" w14:textId="1652408D" w:rsidR="00534E8E" w:rsidRPr="00834834" w:rsidRDefault="00534E8E" w:rsidP="003E5105">
            <w:pPr>
              <w:pStyle w:val="Subtitle"/>
              <w:rPr>
                <w:rFonts w:cs="Arial"/>
                <w:lang w:val="fr-BE"/>
              </w:rPr>
            </w:pPr>
            <w:r w:rsidRPr="00834834">
              <w:rPr>
                <w:rFonts w:cs="Arial"/>
                <w:lang w:val="fr-BE"/>
              </w:rPr>
              <w:t>Titre VIII</w:t>
            </w:r>
            <w:r w:rsidRPr="00834834">
              <w:rPr>
                <w:rFonts w:cs="Arial"/>
                <w:lang w:val="fr-BE"/>
              </w:rPr>
              <w:br/>
              <w:t>Experts (</w:t>
            </w:r>
            <w:r w:rsidRPr="00834834">
              <w:rPr>
                <w:rFonts w:cs="Arial"/>
                <w:bCs/>
                <w:lang w:val="fr-BE"/>
              </w:rPr>
              <w:t>art.</w:t>
            </w:r>
            <w:r w:rsidRPr="00834834">
              <w:rPr>
                <w:rFonts w:cs="Arial"/>
                <w:lang w:val="fr-BE"/>
              </w:rPr>
              <w:t> 95)</w:t>
            </w:r>
          </w:p>
          <w:p w14:paraId="64E4F648" w14:textId="6C8330F2" w:rsidR="00534E8E" w:rsidRPr="00834834" w:rsidRDefault="00534E8E" w:rsidP="003E5105">
            <w:pPr>
              <w:pStyle w:val="Subtitle"/>
              <w:rPr>
                <w:rFonts w:cs="Arial"/>
                <w:lang w:val="fr-BE"/>
              </w:rPr>
            </w:pPr>
            <w:r w:rsidRPr="00834834">
              <w:rPr>
                <w:rFonts w:cs="Arial"/>
                <w:lang w:val="fr-BE"/>
              </w:rPr>
              <w:t>Titre IX</w:t>
            </w:r>
            <w:r w:rsidRPr="00834834">
              <w:rPr>
                <w:rFonts w:cs="Arial"/>
                <w:lang w:val="fr-BE"/>
              </w:rPr>
              <w:br/>
              <w:t>Contrôles et vérifications menés par l’OLAF (</w:t>
            </w:r>
            <w:r w:rsidRPr="00834834">
              <w:rPr>
                <w:rFonts w:cs="Arial"/>
                <w:bCs/>
                <w:lang w:val="fr-BE"/>
              </w:rPr>
              <w:t>art.</w:t>
            </w:r>
            <w:r w:rsidRPr="00834834">
              <w:rPr>
                <w:rFonts w:cs="Arial"/>
                <w:lang w:val="fr-BE"/>
              </w:rPr>
              <w:t> 96)</w:t>
            </w:r>
          </w:p>
          <w:p w14:paraId="3EC92117" w14:textId="6E3307A2" w:rsidR="001F116B" w:rsidRPr="00834834" w:rsidRDefault="001F116B" w:rsidP="003E5105">
            <w:pPr>
              <w:pStyle w:val="Subtitle"/>
              <w:rPr>
                <w:rFonts w:cs="Arial"/>
                <w:lang w:val="fr-BE"/>
              </w:rPr>
            </w:pPr>
            <w:r w:rsidRPr="00834834">
              <w:rPr>
                <w:rFonts w:cs="Arial"/>
                <w:lang w:val="fr-BE"/>
              </w:rPr>
              <w:t>Titre X</w:t>
            </w:r>
            <w:r w:rsidRPr="00834834">
              <w:rPr>
                <w:rFonts w:cs="Arial"/>
                <w:lang w:val="fr-BE"/>
              </w:rPr>
              <w:br/>
            </w:r>
            <w:r w:rsidRPr="00834834">
              <w:rPr>
                <w:rFonts w:cs="Arial"/>
                <w:bCs/>
                <w:lang w:val="fr-BE"/>
              </w:rPr>
              <w:t>Dispositions tran</w:t>
            </w:r>
            <w:r w:rsidR="006C1BAA" w:rsidRPr="00834834">
              <w:rPr>
                <w:rFonts w:cs="Arial"/>
                <w:bCs/>
                <w:lang w:val="fr-BE"/>
              </w:rPr>
              <w:t>sitoires et finales (art. 97-100</w:t>
            </w:r>
            <w:r w:rsidRPr="00834834">
              <w:rPr>
                <w:rFonts w:cs="Arial"/>
                <w:bCs/>
                <w:lang w:val="fr-BE"/>
              </w:rPr>
              <w:t>)</w:t>
            </w:r>
          </w:p>
          <w:p w14:paraId="45074FA3" w14:textId="77777777" w:rsidR="001F116B" w:rsidRPr="00834834" w:rsidRDefault="001F116B" w:rsidP="00F66D25">
            <w:pPr>
              <w:jc w:val="center"/>
              <w:outlineLvl w:val="0"/>
              <w:rPr>
                <w:rFonts w:ascii="Times New Roman" w:hAnsi="Times New Roman"/>
                <w:sz w:val="24"/>
                <w:szCs w:val="24"/>
                <w:u w:val="single"/>
                <w:lang w:val="fr-BE"/>
              </w:rPr>
            </w:pPr>
          </w:p>
          <w:p w14:paraId="448709B7" w14:textId="77777777" w:rsidR="00FE6ABA" w:rsidRPr="00834834" w:rsidRDefault="00FE6ABA" w:rsidP="00F66D25">
            <w:pPr>
              <w:jc w:val="center"/>
              <w:outlineLvl w:val="0"/>
              <w:rPr>
                <w:rFonts w:ascii="Times New Roman" w:hAnsi="Times New Roman"/>
                <w:sz w:val="24"/>
                <w:szCs w:val="24"/>
                <w:lang w:val="fr-BE"/>
              </w:rPr>
            </w:pPr>
          </w:p>
          <w:p w14:paraId="0B8C81BB" w14:textId="77777777" w:rsidR="00FE6ABA" w:rsidRPr="00834834" w:rsidRDefault="00FE6ABA" w:rsidP="00F66D25">
            <w:pPr>
              <w:jc w:val="center"/>
              <w:outlineLvl w:val="0"/>
              <w:rPr>
                <w:rFonts w:ascii="Times New Roman" w:hAnsi="Times New Roman"/>
                <w:sz w:val="24"/>
                <w:szCs w:val="24"/>
                <w:lang w:val="fr-BE"/>
              </w:rPr>
            </w:pPr>
          </w:p>
          <w:p w14:paraId="2859AB04" w14:textId="77777777" w:rsidR="00FE6ABA" w:rsidRPr="00834834" w:rsidRDefault="00FE6ABA" w:rsidP="00F66D25">
            <w:pPr>
              <w:jc w:val="center"/>
              <w:outlineLvl w:val="0"/>
              <w:rPr>
                <w:rFonts w:ascii="Times New Roman" w:hAnsi="Times New Roman"/>
                <w:sz w:val="24"/>
                <w:szCs w:val="24"/>
                <w:lang w:val="fr-BE"/>
              </w:rPr>
            </w:pPr>
          </w:p>
          <w:p w14:paraId="13028841" w14:textId="77777777" w:rsidR="00FE6ABA" w:rsidRPr="00834834" w:rsidRDefault="00FE6ABA" w:rsidP="00F66D25">
            <w:pPr>
              <w:jc w:val="center"/>
              <w:outlineLvl w:val="0"/>
              <w:rPr>
                <w:rFonts w:ascii="Times New Roman" w:hAnsi="Times New Roman"/>
                <w:sz w:val="24"/>
                <w:szCs w:val="24"/>
                <w:lang w:val="fr-BE"/>
              </w:rPr>
            </w:pPr>
          </w:p>
          <w:p w14:paraId="509298DB" w14:textId="1629D250" w:rsidR="000D27D3" w:rsidRPr="00834834" w:rsidRDefault="000D27D3" w:rsidP="003E5105">
            <w:pPr>
              <w:pStyle w:val="Heading2"/>
              <w:rPr>
                <w:lang w:val="fr-BE"/>
              </w:rPr>
            </w:pPr>
            <w:r w:rsidRPr="00834834">
              <w:rPr>
                <w:lang w:val="fr-BE"/>
              </w:rPr>
              <w:t>Préambule</w:t>
            </w:r>
          </w:p>
          <w:p w14:paraId="6331EA3F" w14:textId="3AC0F4A1" w:rsidR="002E3A2A" w:rsidRPr="00834834" w:rsidRDefault="002E3A2A" w:rsidP="003E5105">
            <w:pPr>
              <w:jc w:val="center"/>
              <w:rPr>
                <w:lang w:val="fr-BE"/>
              </w:rPr>
            </w:pPr>
            <w:r w:rsidRPr="00834834">
              <w:rPr>
                <w:lang w:val="fr-BE"/>
              </w:rPr>
              <w:t>LE CONSEIL SUPÉRIEUR DES ÉCOLES EUROPÉENNES</w:t>
            </w:r>
          </w:p>
          <w:p w14:paraId="1563B3E6" w14:textId="223D4266" w:rsidR="002E3A2A" w:rsidRPr="00834834" w:rsidRDefault="002E3A2A" w:rsidP="003E5105">
            <w:pPr>
              <w:rPr>
                <w:lang w:val="fr-BE"/>
              </w:rPr>
            </w:pPr>
            <w:r w:rsidRPr="00834834">
              <w:rPr>
                <w:lang w:val="fr-BE"/>
              </w:rPr>
              <w:t>Vu la Convention portant Statut des Écoles européennes du</w:t>
            </w:r>
            <w:r w:rsidRPr="00834834">
              <w:rPr>
                <w:shd w:val="clear" w:color="auto" w:fill="FFFFFF"/>
                <w:lang w:val="fr-BE"/>
              </w:rPr>
              <w:t xml:space="preserve"> 21 juin 1994</w:t>
            </w:r>
            <w:r w:rsidRPr="00834834">
              <w:rPr>
                <w:shd w:val="clear" w:color="auto" w:fill="FFFFFF"/>
                <w:vertAlign w:val="superscript"/>
                <w:lang w:val="fr-BE"/>
              </w:rPr>
              <w:footnoteReference w:id="2"/>
            </w:r>
            <w:r w:rsidRPr="00834834">
              <w:rPr>
                <w:shd w:val="clear" w:color="auto" w:fill="FFFFFF"/>
                <w:lang w:val="fr-BE"/>
              </w:rPr>
              <w:t xml:space="preserve"> </w:t>
            </w:r>
            <w:r w:rsidRPr="00834834">
              <w:rPr>
                <w:lang w:val="fr-BE"/>
              </w:rPr>
              <w:t>(ci-après dénommée «</w:t>
            </w:r>
            <w:r w:rsidR="00D0034C" w:rsidRPr="00834834">
              <w:rPr>
                <w:lang w:val="fr-BE"/>
              </w:rPr>
              <w:t> </w:t>
            </w:r>
            <w:r w:rsidRPr="00834834">
              <w:rPr>
                <w:lang w:val="fr-BE"/>
              </w:rPr>
              <w:t>la Convention</w:t>
            </w:r>
            <w:r w:rsidR="00D0034C" w:rsidRPr="00834834">
              <w:rPr>
                <w:lang w:val="fr-BE"/>
              </w:rPr>
              <w:t> </w:t>
            </w:r>
            <w:r w:rsidRPr="00834834">
              <w:rPr>
                <w:lang w:val="fr-BE"/>
              </w:rPr>
              <w:t>») et notamment les articles</w:t>
            </w:r>
            <w:r w:rsidR="00D0034C" w:rsidRPr="00834834">
              <w:rPr>
                <w:lang w:val="fr-BE"/>
              </w:rPr>
              <w:t> </w:t>
            </w:r>
            <w:r w:rsidRPr="00834834">
              <w:rPr>
                <w:lang w:val="fr-BE"/>
              </w:rPr>
              <w:t>6, 10, 12, 13, 20, 21, 24 et 25 ;</w:t>
            </w:r>
          </w:p>
          <w:p w14:paraId="2CF92F7C" w14:textId="6A4ACBCD" w:rsidR="002E3A2A" w:rsidRPr="00834834" w:rsidRDefault="00617DCA" w:rsidP="003E5105">
            <w:pPr>
              <w:rPr>
                <w:lang w:val="fr-BE"/>
              </w:rPr>
            </w:pPr>
            <w:r w:rsidRPr="00834834">
              <w:rPr>
                <w:lang w:val="fr-BE"/>
              </w:rPr>
              <w:t>Vu l</w:t>
            </w:r>
            <w:r w:rsidR="00D0034C" w:rsidRPr="00834834">
              <w:rPr>
                <w:lang w:val="fr-BE"/>
              </w:rPr>
              <w:t>’</w:t>
            </w:r>
            <w:r w:rsidRPr="00834834">
              <w:rPr>
                <w:lang w:val="fr-BE"/>
              </w:rPr>
              <w:t>Accord conclu le 7 novembre 1977 avec l</w:t>
            </w:r>
            <w:r w:rsidR="00D0034C" w:rsidRPr="00834834">
              <w:rPr>
                <w:lang w:val="fr-BE"/>
              </w:rPr>
              <w:t>’</w:t>
            </w:r>
            <w:r w:rsidRPr="00834834">
              <w:rPr>
                <w:lang w:val="fr-BE"/>
              </w:rPr>
              <w:t>Office européen des brevets et notamment les articles 2, 3, 4, 8 et 10 ;</w:t>
            </w:r>
          </w:p>
          <w:p w14:paraId="6E9F72F9" w14:textId="6ADABBC7" w:rsidR="002E3A2A" w:rsidRPr="00834834" w:rsidRDefault="002E3A2A" w:rsidP="003E5105">
            <w:pPr>
              <w:rPr>
                <w:lang w:val="fr-BE"/>
              </w:rPr>
            </w:pPr>
            <w:r w:rsidRPr="00834834">
              <w:rPr>
                <w:lang w:val="fr-BE"/>
              </w:rPr>
              <w:t>Considérant qu</w:t>
            </w:r>
            <w:r w:rsidR="00D0034C" w:rsidRPr="00834834">
              <w:rPr>
                <w:lang w:val="fr-BE"/>
              </w:rPr>
              <w:t>’</w:t>
            </w:r>
            <w:r w:rsidRPr="00834834">
              <w:rPr>
                <w:lang w:val="fr-BE"/>
              </w:rPr>
              <w:t>il convient de tenir compte de l</w:t>
            </w:r>
            <w:r w:rsidR="00D0034C" w:rsidRPr="00834834">
              <w:rPr>
                <w:lang w:val="fr-BE"/>
              </w:rPr>
              <w:t>’</w:t>
            </w:r>
            <w:r w:rsidRPr="00834834">
              <w:rPr>
                <w:lang w:val="fr-BE"/>
              </w:rPr>
              <w:t>évolution juridique et politique de l</w:t>
            </w:r>
            <w:r w:rsidR="00D0034C" w:rsidRPr="00834834">
              <w:rPr>
                <w:lang w:val="fr-BE"/>
              </w:rPr>
              <w:t>’</w:t>
            </w:r>
            <w:r w:rsidRPr="00834834">
              <w:rPr>
                <w:lang w:val="fr-BE"/>
              </w:rPr>
              <w:t>Union européenne ;</w:t>
            </w:r>
          </w:p>
          <w:p w14:paraId="760AACDF" w14:textId="569C8FA9" w:rsidR="002E3A2A" w:rsidRPr="00834834" w:rsidRDefault="002E3A2A" w:rsidP="003E5105">
            <w:pPr>
              <w:rPr>
                <w:lang w:val="fr-BE"/>
              </w:rPr>
            </w:pPr>
            <w:r w:rsidRPr="00834834">
              <w:rPr>
                <w:lang w:val="fr-BE"/>
              </w:rPr>
              <w:t>Considérant que les compétences de la Cour des comptes sont définies par l</w:t>
            </w:r>
            <w:r w:rsidR="00D0034C" w:rsidRPr="00834834">
              <w:rPr>
                <w:lang w:val="fr-BE"/>
              </w:rPr>
              <w:t>’</w:t>
            </w:r>
            <w:r w:rsidRPr="00834834">
              <w:rPr>
                <w:lang w:val="fr-BE"/>
              </w:rPr>
              <w:t>article 287 du traité sur le fonctionnement de l</w:t>
            </w:r>
            <w:r w:rsidR="00D0034C" w:rsidRPr="00834834">
              <w:rPr>
                <w:lang w:val="fr-BE"/>
              </w:rPr>
              <w:t>’</w:t>
            </w:r>
            <w:r w:rsidRPr="00834834">
              <w:rPr>
                <w:lang w:val="fr-BE"/>
              </w:rPr>
              <w:t>Union européenne et que le présent Règlement financier ne saurait les limiter ;</w:t>
            </w:r>
          </w:p>
          <w:p w14:paraId="1296CEF1" w14:textId="174BD55C" w:rsidR="002E3A2A" w:rsidRPr="00834834" w:rsidRDefault="002E3A2A" w:rsidP="003E5105">
            <w:pPr>
              <w:rPr>
                <w:lang w:val="fr-BE"/>
              </w:rPr>
            </w:pPr>
            <w:r w:rsidRPr="00834834">
              <w:rPr>
                <w:lang w:val="fr-BE"/>
              </w:rPr>
              <w:t>Considérant que les principes de bonne gestion financière, découlant du présent Règlement, auront pour effet d</w:t>
            </w:r>
            <w:r w:rsidR="00D0034C" w:rsidRPr="00834834">
              <w:rPr>
                <w:lang w:val="fr-BE"/>
              </w:rPr>
              <w:t>’</w:t>
            </w:r>
            <w:r w:rsidRPr="00834834">
              <w:rPr>
                <w:lang w:val="fr-BE"/>
              </w:rPr>
              <w:t>encadrer rigoureusement l</w:t>
            </w:r>
            <w:r w:rsidR="00D0034C" w:rsidRPr="00834834">
              <w:rPr>
                <w:lang w:val="fr-BE"/>
              </w:rPr>
              <w:t>’</w:t>
            </w:r>
            <w:r w:rsidRPr="00834834">
              <w:rPr>
                <w:lang w:val="fr-BE"/>
              </w:rPr>
              <w:t>utilisation des ressources et moyens financiers ;</w:t>
            </w:r>
          </w:p>
          <w:p w14:paraId="05E4988F" w14:textId="32C8B17C" w:rsidR="00DA576A" w:rsidRPr="00834834" w:rsidRDefault="00617DCA" w:rsidP="003E5105">
            <w:pPr>
              <w:rPr>
                <w:lang w:val="fr-BE"/>
              </w:rPr>
            </w:pPr>
            <w:r w:rsidRPr="00834834">
              <w:rPr>
                <w:lang w:val="fr-BE"/>
              </w:rPr>
              <w:t>Considérant qu</w:t>
            </w:r>
            <w:r w:rsidR="00D0034C" w:rsidRPr="00834834">
              <w:rPr>
                <w:lang w:val="fr-BE"/>
              </w:rPr>
              <w:t>’</w:t>
            </w:r>
            <w:r w:rsidRPr="00834834">
              <w:rPr>
                <w:lang w:val="fr-BE"/>
              </w:rPr>
              <w:t>il convient de renforcer, de manière coordonnée et uniforme, la gestion des Écoles eu égard à leur dispersion géographique et à leur nombre ;</w:t>
            </w:r>
          </w:p>
          <w:p w14:paraId="7C21FF22" w14:textId="6836D613" w:rsidR="006F1C76" w:rsidRPr="00834834" w:rsidRDefault="006F1C76" w:rsidP="003E5105">
            <w:pPr>
              <w:rPr>
                <w:shd w:val="clear" w:color="auto" w:fill="FFFFFF"/>
                <w:lang w:val="fr-BE"/>
              </w:rPr>
            </w:pPr>
            <w:r w:rsidRPr="00834834">
              <w:rPr>
                <w:shd w:val="clear" w:color="auto" w:fill="FFFFFF"/>
                <w:lang w:val="fr-BE"/>
              </w:rPr>
              <w:t>Considérant qu</w:t>
            </w:r>
            <w:r w:rsidR="00D0034C" w:rsidRPr="00834834">
              <w:rPr>
                <w:shd w:val="clear" w:color="auto" w:fill="FFFFFF"/>
                <w:lang w:val="fr-BE"/>
              </w:rPr>
              <w:t>’</w:t>
            </w:r>
            <w:r w:rsidRPr="00834834">
              <w:rPr>
                <w:shd w:val="clear" w:color="auto" w:fill="FFFFFF"/>
                <w:lang w:val="fr-BE"/>
              </w:rPr>
              <w:t>il convient de renforcer la responsabilité et la transparence de l</w:t>
            </w:r>
            <w:r w:rsidR="00D0034C" w:rsidRPr="00834834">
              <w:rPr>
                <w:shd w:val="clear" w:color="auto" w:fill="FFFFFF"/>
                <w:lang w:val="fr-BE"/>
              </w:rPr>
              <w:t>’</w:t>
            </w:r>
            <w:r w:rsidRPr="00834834">
              <w:rPr>
                <w:shd w:val="clear" w:color="auto" w:fill="FFFFFF"/>
                <w:lang w:val="fr-BE"/>
              </w:rPr>
              <w:t>ensemble du système des Écoles européennes et de renforcer sa gouvernance financière par une centralisation des fonctions d</w:t>
            </w:r>
            <w:r w:rsidR="00D0034C" w:rsidRPr="00834834">
              <w:rPr>
                <w:shd w:val="clear" w:color="auto" w:fill="FFFFFF"/>
                <w:lang w:val="fr-BE"/>
              </w:rPr>
              <w:t>’</w:t>
            </w:r>
            <w:r w:rsidRPr="00834834">
              <w:rPr>
                <w:shd w:val="clear" w:color="auto" w:fill="FFFFFF"/>
                <w:lang w:val="fr-BE"/>
              </w:rPr>
              <w:t>ordonnateur et de comptable ;</w:t>
            </w:r>
          </w:p>
          <w:p w14:paraId="149BABFD" w14:textId="4315A32D" w:rsidR="006F1C76" w:rsidRPr="00834834" w:rsidRDefault="006F1C76" w:rsidP="003E5105">
            <w:pPr>
              <w:rPr>
                <w:lang w:val="fr-BE"/>
              </w:rPr>
            </w:pPr>
            <w:r w:rsidRPr="00834834">
              <w:rPr>
                <w:shd w:val="clear" w:color="auto" w:fill="FFFFFF"/>
                <w:lang w:val="fr-BE"/>
              </w:rPr>
              <w:t>Considérant que conformément à l</w:t>
            </w:r>
            <w:r w:rsidR="00D0034C" w:rsidRPr="00834834">
              <w:rPr>
                <w:shd w:val="clear" w:color="auto" w:fill="FFFFFF"/>
                <w:lang w:val="fr-BE"/>
              </w:rPr>
              <w:t>’</w:t>
            </w:r>
            <w:r w:rsidRPr="00834834">
              <w:rPr>
                <w:shd w:val="clear" w:color="auto" w:fill="FFFFFF"/>
                <w:lang w:val="fr-BE"/>
              </w:rPr>
              <w:t>article 6 de la Convention, chaque École européenne est libre de gérer les crédits de sa propre section du budget dans les conditions prévues au Règlement financier, visées à l’article 13, paragraphe 1 de la Convention ; Par conséquent, il convient de fixer les dispositions relatives à la nouvelle gouvernance financière dans le cadre de l</w:t>
            </w:r>
            <w:r w:rsidR="00D0034C" w:rsidRPr="00834834">
              <w:rPr>
                <w:shd w:val="clear" w:color="auto" w:fill="FFFFFF"/>
                <w:lang w:val="fr-BE"/>
              </w:rPr>
              <w:t>’</w:t>
            </w:r>
            <w:r w:rsidRPr="00834834">
              <w:rPr>
                <w:shd w:val="clear" w:color="auto" w:fill="FFFFFF"/>
                <w:lang w:val="fr-BE"/>
              </w:rPr>
              <w:t>autonomie financière prévue à l</w:t>
            </w:r>
            <w:r w:rsidR="00D0034C" w:rsidRPr="00834834">
              <w:rPr>
                <w:shd w:val="clear" w:color="auto" w:fill="FFFFFF"/>
                <w:lang w:val="fr-BE"/>
              </w:rPr>
              <w:t>’</w:t>
            </w:r>
            <w:r w:rsidRPr="00834834">
              <w:rPr>
                <w:shd w:val="clear" w:color="auto" w:fill="FFFFFF"/>
                <w:lang w:val="fr-BE"/>
              </w:rPr>
              <w:t>article 6 de la Convention ;</w:t>
            </w:r>
          </w:p>
          <w:p w14:paraId="0E56A9A2" w14:textId="449EF0E1" w:rsidR="00BC795C" w:rsidRPr="00834834" w:rsidRDefault="00617DCA" w:rsidP="003E5105">
            <w:pPr>
              <w:rPr>
                <w:lang w:val="fr-BE"/>
              </w:rPr>
            </w:pPr>
            <w:r w:rsidRPr="00834834">
              <w:rPr>
                <w:lang w:val="fr-BE"/>
              </w:rPr>
              <w:t>Considérant que la Cour des comptes a été consultée le 2 décembre 2016 et qu</w:t>
            </w:r>
            <w:r w:rsidR="00D0034C" w:rsidRPr="00834834">
              <w:rPr>
                <w:lang w:val="fr-BE"/>
              </w:rPr>
              <w:t>’</w:t>
            </w:r>
            <w:r w:rsidRPr="00834834">
              <w:rPr>
                <w:lang w:val="fr-BE"/>
              </w:rPr>
              <w:t>elle a rendu son avis le 30 mars 2017 ;</w:t>
            </w:r>
            <w:r w:rsidR="000C03D3" w:rsidRPr="00834834">
              <w:rPr>
                <w:lang w:val="fr-BE"/>
              </w:rPr>
              <w:t xml:space="preserve"> et, concernant la revue faite en 2020, pour laquelle la Cour des comptes a été consultée le 29 avril 2020, a rendu son avis le 22 octobre 2020.</w:t>
            </w:r>
          </w:p>
          <w:p w14:paraId="4EA9F03F" w14:textId="776AB64F" w:rsidR="00617DCA" w:rsidRPr="00834834" w:rsidRDefault="00617DCA" w:rsidP="003E5105">
            <w:pPr>
              <w:rPr>
                <w:lang w:val="fr-BE"/>
              </w:rPr>
            </w:pPr>
            <w:r w:rsidRPr="00834834">
              <w:rPr>
                <w:lang w:val="fr-BE"/>
              </w:rPr>
              <w:t>Considérant que l’Office européen des brevets a été consulté le 2 décembre 2016 et qu’il a rendu son avis le 19 décembre 2016 ;</w:t>
            </w:r>
            <w:r w:rsidR="000C03D3" w:rsidRPr="00834834">
              <w:rPr>
                <w:lang w:val="fr-BE"/>
              </w:rPr>
              <w:t xml:space="preserve"> et, concernant la revue faite en 2020, pour laquelle l’Office européen des brevets a été consultée le 29 avril 2020, a rendu son avis le 27 mai 2020.</w:t>
            </w:r>
          </w:p>
          <w:p w14:paraId="576902FC" w14:textId="571B0AC6" w:rsidR="00617DCA" w:rsidRPr="00834834" w:rsidRDefault="00617DCA" w:rsidP="003E5105">
            <w:pPr>
              <w:rPr>
                <w:lang w:val="fr-BE"/>
              </w:rPr>
            </w:pPr>
            <w:r w:rsidRPr="00834834">
              <w:rPr>
                <w:lang w:val="fr-BE"/>
              </w:rPr>
              <w:t>A ARRÊTÉ LE PRÉSENT RÈGLEMENT FINANCIER.</w:t>
            </w:r>
          </w:p>
          <w:p w14:paraId="53F85F24" w14:textId="77777777" w:rsidR="005E627D" w:rsidRDefault="005E627D" w:rsidP="003E5105">
            <w:pPr>
              <w:pStyle w:val="Heading1"/>
              <w:rPr>
                <w:lang w:val="fr-BE"/>
              </w:rPr>
            </w:pPr>
          </w:p>
          <w:p w14:paraId="5F671C31" w14:textId="309F4130" w:rsidR="005E627D" w:rsidRDefault="005E627D" w:rsidP="003E5105">
            <w:pPr>
              <w:pStyle w:val="Heading1"/>
              <w:rPr>
                <w:lang w:val="fr-BE"/>
              </w:rPr>
            </w:pPr>
          </w:p>
          <w:p w14:paraId="6894A068" w14:textId="77777777" w:rsidR="005E627D" w:rsidRPr="005E627D" w:rsidRDefault="005E627D" w:rsidP="005E627D">
            <w:pPr>
              <w:rPr>
                <w:lang w:val="fr-BE"/>
              </w:rPr>
            </w:pPr>
          </w:p>
          <w:p w14:paraId="42464140" w14:textId="77777777" w:rsidR="00586575" w:rsidRDefault="00586575" w:rsidP="003E5105">
            <w:pPr>
              <w:pStyle w:val="Heading1"/>
              <w:rPr>
                <w:lang w:val="fr-BE"/>
              </w:rPr>
            </w:pPr>
          </w:p>
          <w:p w14:paraId="4627EC49" w14:textId="4C8C6D34" w:rsidR="004A2404" w:rsidRPr="00834834" w:rsidRDefault="004A2404" w:rsidP="003E5105">
            <w:pPr>
              <w:pStyle w:val="Heading1"/>
              <w:rPr>
                <w:lang w:val="fr-BE"/>
              </w:rPr>
            </w:pPr>
            <w:r w:rsidRPr="00834834">
              <w:rPr>
                <w:lang w:val="fr-BE"/>
              </w:rPr>
              <w:t>TITRE I</w:t>
            </w:r>
          </w:p>
          <w:p w14:paraId="04A09965" w14:textId="77777777" w:rsidR="004A2404" w:rsidRPr="00834834" w:rsidRDefault="004A2404" w:rsidP="003E5105">
            <w:pPr>
              <w:pStyle w:val="Heading1"/>
              <w:rPr>
                <w:lang w:val="fr-BE"/>
              </w:rPr>
            </w:pPr>
            <w:r w:rsidRPr="00834834">
              <w:rPr>
                <w:lang w:val="fr-BE"/>
              </w:rPr>
              <w:t>PRINCIPES GÉNÉRAUX</w:t>
            </w:r>
          </w:p>
          <w:p w14:paraId="6F910756" w14:textId="28DAAB0C" w:rsidR="004A2404" w:rsidRPr="00834834" w:rsidRDefault="004A2404" w:rsidP="003E5105">
            <w:pPr>
              <w:pStyle w:val="Subtitle"/>
              <w:rPr>
                <w:lang w:val="fr-BE"/>
              </w:rPr>
            </w:pPr>
            <w:r w:rsidRPr="00834834">
              <w:rPr>
                <w:lang w:val="fr-BE"/>
              </w:rPr>
              <w:t>Article</w:t>
            </w:r>
            <w:r w:rsidR="00D0034C" w:rsidRPr="00834834">
              <w:rPr>
                <w:lang w:val="fr-BE"/>
              </w:rPr>
              <w:t> </w:t>
            </w:r>
            <w:r w:rsidRPr="00834834">
              <w:rPr>
                <w:lang w:val="fr-BE"/>
              </w:rPr>
              <w:t>1</w:t>
            </w:r>
          </w:p>
          <w:p w14:paraId="29D34EE7" w14:textId="58B7DC55" w:rsidR="004A2404" w:rsidRPr="00834834" w:rsidRDefault="004A2404" w:rsidP="003E5105">
            <w:pPr>
              <w:pStyle w:val="Subtitle"/>
              <w:rPr>
                <w:lang w:val="fr-BE"/>
              </w:rPr>
            </w:pPr>
            <w:r w:rsidRPr="00834834">
              <w:rPr>
                <w:lang w:val="fr-BE"/>
              </w:rPr>
              <w:t>Champ d</w:t>
            </w:r>
            <w:r w:rsidR="00D0034C" w:rsidRPr="00834834">
              <w:rPr>
                <w:lang w:val="fr-BE"/>
              </w:rPr>
              <w:t>’</w:t>
            </w:r>
            <w:r w:rsidRPr="00834834">
              <w:rPr>
                <w:lang w:val="fr-BE"/>
              </w:rPr>
              <w:t>application du budget</w:t>
            </w:r>
          </w:p>
          <w:p w14:paraId="39C4D3E9" w14:textId="77777777" w:rsidR="000C03D3" w:rsidRPr="00834834" w:rsidRDefault="004A2404" w:rsidP="009B042C">
            <w:pPr>
              <w:pStyle w:val="ListParagraph"/>
              <w:numPr>
                <w:ilvl w:val="0"/>
                <w:numId w:val="6"/>
              </w:numPr>
              <w:ind w:left="1019"/>
            </w:pPr>
            <w:r w:rsidRPr="00834834">
              <w:t>Le budget des Écoles européennes, ci-après dénommé «</w:t>
            </w:r>
            <w:r w:rsidR="00D0034C" w:rsidRPr="00834834">
              <w:t> </w:t>
            </w:r>
            <w:r w:rsidRPr="00834834">
              <w:t>le budget</w:t>
            </w:r>
            <w:r w:rsidR="00D0034C" w:rsidRPr="00834834">
              <w:t> </w:t>
            </w:r>
            <w:r w:rsidRPr="00834834">
              <w:t>», est l</w:t>
            </w:r>
            <w:r w:rsidR="00D0034C" w:rsidRPr="00834834">
              <w:t>’</w:t>
            </w:r>
            <w:r w:rsidRPr="00834834">
              <w:t>acte qui prévoit et autorise préalablement, chaque année, les recettes et les dépenses prévisibles des Écoles, comme structuré à l</w:t>
            </w:r>
            <w:r w:rsidR="00D0034C" w:rsidRPr="00834834">
              <w:t>’</w:t>
            </w:r>
            <w:r w:rsidRPr="00834834">
              <w:t>article 25.</w:t>
            </w:r>
          </w:p>
          <w:p w14:paraId="0CA80A28" w14:textId="68525647" w:rsidR="004A2404" w:rsidRPr="00834834" w:rsidRDefault="004A2404" w:rsidP="009B042C">
            <w:pPr>
              <w:pStyle w:val="ListParagraph"/>
              <w:numPr>
                <w:ilvl w:val="0"/>
                <w:numId w:val="6"/>
              </w:numPr>
              <w:ind w:left="1019"/>
            </w:pPr>
            <w:r w:rsidRPr="00834834">
              <w:t>Au sens du présent Règlement financier, le budget de trésorerie des Écoles comprend :</w:t>
            </w:r>
          </w:p>
          <w:p w14:paraId="5D7803F0" w14:textId="77777777" w:rsidR="000C03D3" w:rsidRPr="005E627D" w:rsidRDefault="004A2404" w:rsidP="00ED4F09">
            <w:pPr>
              <w:pStyle w:val="numbering2"/>
              <w:numPr>
                <w:ilvl w:val="0"/>
                <w:numId w:val="123"/>
              </w:numPr>
              <w:ind w:left="2148"/>
            </w:pPr>
            <w:proofErr w:type="gramStart"/>
            <w:r w:rsidRPr="005E627D">
              <w:t>les</w:t>
            </w:r>
            <w:proofErr w:type="gramEnd"/>
            <w:r w:rsidRPr="005E627D">
              <w:t xml:space="preserve"> contributions des États membres par le biais du paiement périodique de la rémunération des enseignants détachés ou affectés aux Écoles et, si besoin est, une contribution financière décidée par le Conseil supérieur agissant à l</w:t>
            </w:r>
            <w:r w:rsidR="00D0034C" w:rsidRPr="005E627D">
              <w:t>’</w:t>
            </w:r>
            <w:r w:rsidRPr="005E627D">
              <w:t>unanimité ;</w:t>
            </w:r>
          </w:p>
          <w:p w14:paraId="503428BA" w14:textId="77777777" w:rsidR="000C03D3" w:rsidRPr="005E627D" w:rsidRDefault="004A2404" w:rsidP="00ED4F09">
            <w:pPr>
              <w:pStyle w:val="numbering2"/>
              <w:numPr>
                <w:ilvl w:val="0"/>
                <w:numId w:val="123"/>
              </w:numPr>
              <w:ind w:left="2148"/>
            </w:pPr>
            <w:proofErr w:type="gramStart"/>
            <w:r w:rsidRPr="005E627D">
              <w:t>la</w:t>
            </w:r>
            <w:proofErr w:type="gramEnd"/>
            <w:r w:rsidRPr="005E627D">
              <w:t xml:space="preserve"> contribution de l</w:t>
            </w:r>
            <w:r w:rsidR="00D0034C" w:rsidRPr="005E627D">
              <w:t>’</w:t>
            </w:r>
            <w:r w:rsidRPr="005E627D">
              <w:t>Union européenne, qui est destinée à couvrir la différence entre le montant total des dépenses des Écoles et le total des autres recettes ;</w:t>
            </w:r>
          </w:p>
          <w:p w14:paraId="0DEE011E" w14:textId="77777777" w:rsidR="000C03D3" w:rsidRPr="005E627D" w:rsidRDefault="004A2404" w:rsidP="00ED4F09">
            <w:pPr>
              <w:pStyle w:val="numbering2"/>
              <w:numPr>
                <w:ilvl w:val="0"/>
                <w:numId w:val="123"/>
              </w:numPr>
              <w:ind w:left="2148"/>
            </w:pPr>
            <w:proofErr w:type="gramStart"/>
            <w:r w:rsidRPr="005E627D">
              <w:t>les</w:t>
            </w:r>
            <w:proofErr w:type="gramEnd"/>
            <w:r w:rsidRPr="005E627D">
              <w:t xml:space="preserve"> contributions d</w:t>
            </w:r>
            <w:r w:rsidR="00D0034C" w:rsidRPr="005E627D">
              <w:t>’</w:t>
            </w:r>
            <w:r w:rsidRPr="005E627D">
              <w:t>organisations qui ne dépendent pas de l</w:t>
            </w:r>
            <w:r w:rsidR="00D0034C" w:rsidRPr="005E627D">
              <w:t>’</w:t>
            </w:r>
            <w:r w:rsidRPr="005E627D">
              <w:t>Union européenne avec lesquelles le Conseil supérieur a conclu un accord ;</w:t>
            </w:r>
          </w:p>
          <w:p w14:paraId="07A07B31" w14:textId="77777777" w:rsidR="000C03D3" w:rsidRPr="005E627D" w:rsidRDefault="004A2404" w:rsidP="00ED4F09">
            <w:pPr>
              <w:pStyle w:val="numbering2"/>
              <w:numPr>
                <w:ilvl w:val="0"/>
                <w:numId w:val="123"/>
              </w:numPr>
              <w:ind w:left="2148"/>
            </w:pPr>
            <w:proofErr w:type="gramStart"/>
            <w:r w:rsidRPr="005E627D">
              <w:t>les</w:t>
            </w:r>
            <w:proofErr w:type="gramEnd"/>
            <w:r w:rsidRPr="005E627D">
              <w:t xml:space="preserve"> recettes propres de l</w:t>
            </w:r>
            <w:r w:rsidR="00D0034C" w:rsidRPr="005E627D">
              <w:t>’</w:t>
            </w:r>
            <w:r w:rsidRPr="005E627D">
              <w:t>École, notamment le minerval imposé aux parents par le Conseil supérieur ;</w:t>
            </w:r>
          </w:p>
          <w:p w14:paraId="2A61CB54" w14:textId="77777777" w:rsidR="000C03D3" w:rsidRPr="005E627D" w:rsidRDefault="004A2404" w:rsidP="00ED4F09">
            <w:pPr>
              <w:pStyle w:val="numbering2"/>
              <w:numPr>
                <w:ilvl w:val="0"/>
                <w:numId w:val="123"/>
              </w:numPr>
              <w:ind w:left="2148"/>
            </w:pPr>
            <w:proofErr w:type="gramStart"/>
            <w:r w:rsidRPr="005E627D">
              <w:t>les</w:t>
            </w:r>
            <w:proofErr w:type="gramEnd"/>
            <w:r w:rsidRPr="005E627D">
              <w:t xml:space="preserve"> recettes diverses ;</w:t>
            </w:r>
          </w:p>
          <w:p w14:paraId="5A2EDB27" w14:textId="57CE8F71" w:rsidR="004A2404" w:rsidRPr="005E627D" w:rsidRDefault="004A2404" w:rsidP="00ED4F09">
            <w:pPr>
              <w:pStyle w:val="numbering2"/>
              <w:numPr>
                <w:ilvl w:val="0"/>
                <w:numId w:val="123"/>
              </w:numPr>
              <w:ind w:left="2148"/>
            </w:pPr>
            <w:proofErr w:type="gramStart"/>
            <w:r w:rsidRPr="005E627D">
              <w:t>les</w:t>
            </w:r>
            <w:proofErr w:type="gramEnd"/>
            <w:r w:rsidRPr="005E627D">
              <w:t xml:space="preserve"> dépenses des Écoles.</w:t>
            </w:r>
          </w:p>
          <w:p w14:paraId="529A59A8" w14:textId="77777777" w:rsidR="006012EC" w:rsidRPr="00834834" w:rsidRDefault="004A2404" w:rsidP="009B042C">
            <w:pPr>
              <w:pStyle w:val="ListParagraph"/>
              <w:numPr>
                <w:ilvl w:val="0"/>
                <w:numId w:val="6"/>
              </w:numPr>
              <w:ind w:left="1019"/>
            </w:pPr>
            <w:r w:rsidRPr="00834834">
              <w:t>Sauf mention contraire, toute référence aux Écoles inclut le Bureau du Secrétaire général.</w:t>
            </w:r>
          </w:p>
          <w:p w14:paraId="066E70DB" w14:textId="42F7EB60" w:rsidR="00BE064E" w:rsidRPr="00834834" w:rsidRDefault="00BE064E" w:rsidP="009B042C">
            <w:pPr>
              <w:pStyle w:val="ListParagraph"/>
              <w:numPr>
                <w:ilvl w:val="0"/>
                <w:numId w:val="6"/>
              </w:numPr>
              <w:ind w:left="1019"/>
            </w:pPr>
            <w:r w:rsidRPr="00834834">
              <w:t>Lorsqu</w:t>
            </w:r>
            <w:r w:rsidR="00D0034C" w:rsidRPr="00834834">
              <w:t>’</w:t>
            </w:r>
            <w:r w:rsidRPr="00834834">
              <w:t>il est fait référence à l</w:t>
            </w:r>
            <w:r w:rsidR="00D0034C" w:rsidRPr="00834834">
              <w:t>’</w:t>
            </w:r>
            <w:r w:rsidRPr="00834834">
              <w:t>Union, ce terme désigne l</w:t>
            </w:r>
            <w:r w:rsidR="00D0034C" w:rsidRPr="00834834">
              <w:t>’</w:t>
            </w:r>
            <w:r w:rsidRPr="00834834">
              <w:t>Union européenne.</w:t>
            </w:r>
          </w:p>
          <w:p w14:paraId="55EC2779" w14:textId="15915A3E" w:rsidR="004A2404" w:rsidRPr="00834834" w:rsidRDefault="004A2404" w:rsidP="002F01E4">
            <w:pPr>
              <w:pStyle w:val="Subtitle"/>
              <w:rPr>
                <w:lang w:val="fr-BE"/>
              </w:rPr>
            </w:pPr>
            <w:r w:rsidRPr="00834834">
              <w:rPr>
                <w:lang w:val="fr-BE"/>
              </w:rPr>
              <w:t>Article</w:t>
            </w:r>
            <w:r w:rsidR="00D0034C" w:rsidRPr="00834834">
              <w:rPr>
                <w:lang w:val="fr-BE"/>
              </w:rPr>
              <w:t> </w:t>
            </w:r>
            <w:r w:rsidRPr="00834834">
              <w:rPr>
                <w:lang w:val="fr-BE"/>
              </w:rPr>
              <w:t>2</w:t>
            </w:r>
          </w:p>
          <w:p w14:paraId="5FB32359" w14:textId="77777777" w:rsidR="004A2404" w:rsidRPr="00834834" w:rsidRDefault="001303C6" w:rsidP="002F01E4">
            <w:pPr>
              <w:pStyle w:val="Subtitle"/>
              <w:rPr>
                <w:lang w:val="fr-BE"/>
              </w:rPr>
            </w:pPr>
            <w:r w:rsidRPr="00834834">
              <w:rPr>
                <w:lang w:val="fr-BE"/>
              </w:rPr>
              <w:t>Principes de la bonne gestion financière. Principes d’économie, d’efficience et d’efficacité</w:t>
            </w:r>
          </w:p>
          <w:p w14:paraId="765FF7BA" w14:textId="77777777" w:rsidR="004A2404" w:rsidRPr="00834834" w:rsidRDefault="004A2404" w:rsidP="00834834">
            <w:pPr>
              <w:rPr>
                <w:lang w:val="fr-BE"/>
              </w:rPr>
            </w:pPr>
            <w:r w:rsidRPr="00834834">
              <w:rPr>
                <w:lang w:val="fr-BE"/>
              </w:rPr>
              <w:t>Les crédits budgétaires sont utilisés conformément au pr</w:t>
            </w:r>
            <w:r w:rsidRPr="007673A5">
              <w:rPr>
                <w:lang w:val="fr-BE"/>
              </w:rPr>
              <w:t>incipe de bonne gestion financière, à savoir conformément aux principes d’économie, d’efficience et d’efficacité</w:t>
            </w:r>
            <w:r w:rsidRPr="00834834">
              <w:rPr>
                <w:lang w:val="fr-BE"/>
              </w:rPr>
              <w:t>.</w:t>
            </w:r>
          </w:p>
          <w:p w14:paraId="5AAF9813" w14:textId="7C304EBA" w:rsidR="00AF17BB" w:rsidRPr="005E627D" w:rsidRDefault="004A2404" w:rsidP="00ED4F09">
            <w:pPr>
              <w:pStyle w:val="numbering2"/>
              <w:numPr>
                <w:ilvl w:val="0"/>
                <w:numId w:val="124"/>
              </w:numPr>
              <w:ind w:left="2148"/>
            </w:pPr>
            <w:r w:rsidRPr="005E627D">
              <w:t>Le principe d</w:t>
            </w:r>
            <w:r w:rsidR="00D0034C" w:rsidRPr="005E627D">
              <w:t>’</w:t>
            </w:r>
            <w:r w:rsidRPr="005E627D">
              <w:t>économie prescrit que les moyens mis en œuvre par les Écoles en vue de la réalisation de leurs activités soient rendus disponibles en temps utile, dans les quantités et qualités appropriées et au meilleur prix.</w:t>
            </w:r>
          </w:p>
          <w:p w14:paraId="777FD513" w14:textId="77777777" w:rsidR="009B385A" w:rsidRPr="005E627D" w:rsidRDefault="004A2404" w:rsidP="00ED4F09">
            <w:pPr>
              <w:pStyle w:val="numbering2"/>
              <w:numPr>
                <w:ilvl w:val="0"/>
                <w:numId w:val="124"/>
              </w:numPr>
              <w:ind w:left="2148"/>
            </w:pPr>
            <w:r w:rsidRPr="005E627D">
              <w:t>Le principe d</w:t>
            </w:r>
            <w:r w:rsidR="00D0034C" w:rsidRPr="005E627D">
              <w:t>’</w:t>
            </w:r>
            <w:r w:rsidRPr="005E627D">
              <w:t>efficience vise le meilleur rapport entre les moyens mis en œuvre et les résultats obtenus.</w:t>
            </w:r>
          </w:p>
          <w:p w14:paraId="04CF3C25" w14:textId="347C64CC" w:rsidR="004A2404" w:rsidRDefault="004A2404" w:rsidP="00ED4F09">
            <w:pPr>
              <w:pStyle w:val="numbering2"/>
              <w:numPr>
                <w:ilvl w:val="0"/>
                <w:numId w:val="124"/>
              </w:numPr>
              <w:ind w:left="2148"/>
            </w:pPr>
            <w:r w:rsidRPr="005E627D">
              <w:t>Le principe d</w:t>
            </w:r>
            <w:r w:rsidR="00D0034C" w:rsidRPr="005E627D">
              <w:t>’</w:t>
            </w:r>
            <w:r w:rsidRPr="005E627D">
              <w:t>efficacité vise l</w:t>
            </w:r>
            <w:r w:rsidR="00D0034C" w:rsidRPr="005E627D">
              <w:t>’</w:t>
            </w:r>
            <w:r w:rsidRPr="005E627D">
              <w:t>atteinte des objectifs spécifiques fixés et l</w:t>
            </w:r>
            <w:r w:rsidR="00D0034C" w:rsidRPr="005E627D">
              <w:t>’</w:t>
            </w:r>
            <w:r w:rsidRPr="005E627D">
              <w:t>obtention des résultats escomptés.</w:t>
            </w:r>
          </w:p>
          <w:p w14:paraId="2333A427" w14:textId="0F2D2EEF" w:rsidR="006C0966" w:rsidRDefault="006C0966" w:rsidP="006C0966">
            <w:pPr>
              <w:pStyle w:val="numbering2"/>
            </w:pPr>
          </w:p>
          <w:p w14:paraId="536E343B" w14:textId="77777777" w:rsidR="006C0966" w:rsidRDefault="006C0966" w:rsidP="006C0966">
            <w:pPr>
              <w:pStyle w:val="numbering2"/>
            </w:pPr>
          </w:p>
          <w:p w14:paraId="186B150D" w14:textId="304D3479" w:rsidR="004A2404" w:rsidRPr="00834834" w:rsidRDefault="004A2404" w:rsidP="00834834">
            <w:pPr>
              <w:pStyle w:val="Subtitle"/>
              <w:rPr>
                <w:lang w:val="fr-BE"/>
              </w:rPr>
            </w:pPr>
            <w:r w:rsidRPr="00834834">
              <w:rPr>
                <w:lang w:val="fr-BE"/>
              </w:rPr>
              <w:lastRenderedPageBreak/>
              <w:t>Article</w:t>
            </w:r>
            <w:r w:rsidR="00D0034C" w:rsidRPr="00834834">
              <w:rPr>
                <w:lang w:val="fr-BE"/>
              </w:rPr>
              <w:t> </w:t>
            </w:r>
            <w:r w:rsidRPr="00834834">
              <w:rPr>
                <w:lang w:val="fr-BE"/>
              </w:rPr>
              <w:t>3</w:t>
            </w:r>
          </w:p>
          <w:p w14:paraId="5F1342ED" w14:textId="77777777" w:rsidR="00922479" w:rsidRPr="00834834" w:rsidRDefault="00922479" w:rsidP="00834834">
            <w:pPr>
              <w:pStyle w:val="Subtitle"/>
              <w:rPr>
                <w:lang w:val="fr-BE"/>
              </w:rPr>
            </w:pPr>
            <w:r w:rsidRPr="00834834">
              <w:rPr>
                <w:lang w:val="fr-BE"/>
              </w:rPr>
              <w:t>Fiche financière</w:t>
            </w:r>
          </w:p>
          <w:p w14:paraId="00FB6893" w14:textId="01C5FCE5" w:rsidR="004A2404" w:rsidRPr="00834834" w:rsidRDefault="004A2404" w:rsidP="00834834">
            <w:pPr>
              <w:rPr>
                <w:rFonts w:ascii="Times New Roman" w:hAnsi="Times New Roman"/>
                <w:sz w:val="24"/>
                <w:szCs w:val="24"/>
                <w:u w:val="single"/>
                <w:lang w:val="fr-BE"/>
              </w:rPr>
            </w:pPr>
            <w:r w:rsidRPr="00834834">
              <w:rPr>
                <w:lang w:val="fr-BE"/>
              </w:rPr>
              <w:t>Pour les propositions soumises au Conseil supérieur qui sont susceptibles d</w:t>
            </w:r>
            <w:r w:rsidR="00D0034C" w:rsidRPr="00834834">
              <w:rPr>
                <w:lang w:val="fr-BE"/>
              </w:rPr>
              <w:t>’</w:t>
            </w:r>
            <w:r w:rsidRPr="00834834">
              <w:rPr>
                <w:lang w:val="fr-BE"/>
              </w:rPr>
              <w:t>avoir une incidence budgétaire, et/ou une incidence sur le nombre d</w:t>
            </w:r>
            <w:r w:rsidR="00D0034C" w:rsidRPr="00834834">
              <w:rPr>
                <w:lang w:val="fr-BE"/>
              </w:rPr>
              <w:t>’</w:t>
            </w:r>
            <w:r w:rsidRPr="00834834">
              <w:rPr>
                <w:lang w:val="fr-BE"/>
              </w:rPr>
              <w:t>emplois, les Écoles et le Bureau du Secrétaire général établissent une fiche financière permettant de quantifier les conséquences budgétaires des décisions et d</w:t>
            </w:r>
            <w:r w:rsidR="00D0034C" w:rsidRPr="00834834">
              <w:rPr>
                <w:lang w:val="fr-BE"/>
              </w:rPr>
              <w:t>’</w:t>
            </w:r>
            <w:r w:rsidRPr="00834834">
              <w:rPr>
                <w:lang w:val="fr-BE"/>
              </w:rPr>
              <w:t>évaluer régulièrement les activités</w:t>
            </w:r>
            <w:r w:rsidRPr="00834834">
              <w:rPr>
                <w:rFonts w:ascii="Times New Roman" w:hAnsi="Times New Roman"/>
                <w:sz w:val="24"/>
                <w:szCs w:val="24"/>
                <w:lang w:val="fr-BE"/>
              </w:rPr>
              <w:t xml:space="preserve"> des Écoles sous l</w:t>
            </w:r>
            <w:r w:rsidR="00D0034C" w:rsidRPr="00834834">
              <w:rPr>
                <w:rFonts w:ascii="Times New Roman" w:hAnsi="Times New Roman"/>
                <w:sz w:val="24"/>
                <w:szCs w:val="24"/>
                <w:lang w:val="fr-BE"/>
              </w:rPr>
              <w:t>’</w:t>
            </w:r>
            <w:r w:rsidRPr="00834834">
              <w:rPr>
                <w:rFonts w:ascii="Times New Roman" w:hAnsi="Times New Roman"/>
                <w:sz w:val="24"/>
                <w:szCs w:val="24"/>
                <w:lang w:val="fr-BE"/>
              </w:rPr>
              <w:t>angle de la bonne gestion financière.</w:t>
            </w:r>
          </w:p>
          <w:p w14:paraId="47E78726" w14:textId="7FF92530" w:rsidR="004A2404" w:rsidRPr="00834834" w:rsidRDefault="004A2404" w:rsidP="00834834">
            <w:pPr>
              <w:pStyle w:val="Subtitle"/>
              <w:rPr>
                <w:lang w:val="fr-BE"/>
              </w:rPr>
            </w:pPr>
            <w:r w:rsidRPr="00834834">
              <w:rPr>
                <w:lang w:val="fr-BE"/>
              </w:rPr>
              <w:t>Article</w:t>
            </w:r>
            <w:r w:rsidR="00D0034C" w:rsidRPr="00834834">
              <w:rPr>
                <w:lang w:val="fr-BE"/>
              </w:rPr>
              <w:t> </w:t>
            </w:r>
            <w:r w:rsidRPr="00834834">
              <w:rPr>
                <w:lang w:val="fr-BE"/>
              </w:rPr>
              <w:t>4</w:t>
            </w:r>
          </w:p>
          <w:p w14:paraId="18389C0B" w14:textId="77777777" w:rsidR="004A2404" w:rsidRPr="00834834" w:rsidRDefault="004A2404" w:rsidP="00834834">
            <w:pPr>
              <w:pStyle w:val="Subtitle"/>
              <w:rPr>
                <w:lang w:val="fr-BE"/>
              </w:rPr>
            </w:pPr>
            <w:r w:rsidRPr="00834834">
              <w:rPr>
                <w:lang w:val="fr-BE"/>
              </w:rPr>
              <w:t>Contrôle interne de l’exécution budgétaire</w:t>
            </w:r>
          </w:p>
          <w:p w14:paraId="38BFDB71" w14:textId="77777777" w:rsidR="000C03D3" w:rsidRPr="00834834" w:rsidRDefault="004A2404" w:rsidP="00ED4F09">
            <w:pPr>
              <w:pStyle w:val="ListParagraph"/>
              <w:numPr>
                <w:ilvl w:val="0"/>
                <w:numId w:val="8"/>
              </w:numPr>
              <w:ind w:left="1019"/>
            </w:pPr>
            <w:r w:rsidRPr="00834834">
              <w:t>Le budget est exécuté selon le principe d</w:t>
            </w:r>
            <w:r w:rsidR="00D0034C" w:rsidRPr="00834834">
              <w:t>’</w:t>
            </w:r>
            <w:r w:rsidRPr="00834834">
              <w:t xml:space="preserve">un contrôle interne efficace et efficient ; </w:t>
            </w:r>
          </w:p>
          <w:p w14:paraId="451B39C4" w14:textId="29262E02" w:rsidR="00922479" w:rsidRPr="00834834" w:rsidRDefault="004A2404" w:rsidP="00ED4F09">
            <w:pPr>
              <w:pStyle w:val="ListParagraph"/>
              <w:numPr>
                <w:ilvl w:val="0"/>
                <w:numId w:val="8"/>
              </w:numPr>
              <w:ind w:left="1019"/>
            </w:pPr>
            <w:r w:rsidRPr="00834834">
              <w:t>Aux fins de l</w:t>
            </w:r>
            <w:r w:rsidR="00D0034C" w:rsidRPr="00834834">
              <w:t>’</w:t>
            </w:r>
            <w:r w:rsidRPr="00834834">
              <w:t xml:space="preserve">exécution du budget, le contrôle interne désigne un processus applicable à tous les niveaux de la chaîne de gestion et conçu pour fournir une assurance raisonnable quant à la réalisation des objectifs suivants : </w:t>
            </w:r>
          </w:p>
          <w:p w14:paraId="66FAAF55" w14:textId="77777777" w:rsidR="000C03D3" w:rsidRPr="005E627D" w:rsidRDefault="004A2404" w:rsidP="00ED4F09">
            <w:pPr>
              <w:pStyle w:val="numbering2"/>
              <w:numPr>
                <w:ilvl w:val="0"/>
                <w:numId w:val="125"/>
              </w:numPr>
              <w:ind w:left="2148"/>
            </w:pPr>
            <w:proofErr w:type="gramStart"/>
            <w:r w:rsidRPr="005E627D">
              <w:t>l’efficacité</w:t>
            </w:r>
            <w:proofErr w:type="gramEnd"/>
            <w:r w:rsidRPr="005E627D">
              <w:t xml:space="preserve">, l’efficience et l’économie des opérations ; </w:t>
            </w:r>
          </w:p>
          <w:p w14:paraId="25039FE5" w14:textId="77777777" w:rsidR="000C03D3" w:rsidRPr="005E627D" w:rsidRDefault="004A2404" w:rsidP="00ED4F09">
            <w:pPr>
              <w:pStyle w:val="numbering2"/>
              <w:numPr>
                <w:ilvl w:val="0"/>
                <w:numId w:val="125"/>
              </w:numPr>
              <w:ind w:left="2148"/>
            </w:pPr>
            <w:proofErr w:type="gramStart"/>
            <w:r w:rsidRPr="005E627D">
              <w:t>la</w:t>
            </w:r>
            <w:proofErr w:type="gramEnd"/>
            <w:r w:rsidRPr="005E627D">
              <w:t xml:space="preserve"> fiabilité des informations ; </w:t>
            </w:r>
          </w:p>
          <w:p w14:paraId="674C541E" w14:textId="77777777" w:rsidR="000C03D3" w:rsidRPr="005E627D" w:rsidRDefault="004A2404" w:rsidP="00ED4F09">
            <w:pPr>
              <w:pStyle w:val="numbering2"/>
              <w:numPr>
                <w:ilvl w:val="0"/>
                <w:numId w:val="125"/>
              </w:numPr>
              <w:ind w:left="2148"/>
            </w:pPr>
            <w:proofErr w:type="gramStart"/>
            <w:r w:rsidRPr="005E627D">
              <w:t>la</w:t>
            </w:r>
            <w:proofErr w:type="gramEnd"/>
            <w:r w:rsidRPr="005E627D">
              <w:t xml:space="preserve"> préservation des actifs et de l’information ; </w:t>
            </w:r>
          </w:p>
          <w:p w14:paraId="5C0ADAC3" w14:textId="77777777" w:rsidR="000C03D3" w:rsidRPr="005E627D" w:rsidRDefault="004A2404" w:rsidP="00ED4F09">
            <w:pPr>
              <w:pStyle w:val="numbering2"/>
              <w:numPr>
                <w:ilvl w:val="0"/>
                <w:numId w:val="125"/>
              </w:numPr>
              <w:ind w:left="2148"/>
            </w:pPr>
            <w:proofErr w:type="gramStart"/>
            <w:r w:rsidRPr="005E627D">
              <w:t>la</w:t>
            </w:r>
            <w:proofErr w:type="gramEnd"/>
            <w:r w:rsidRPr="005E627D">
              <w:t xml:space="preserve"> prévention, la détection, la correction et le suivi de la fraude et des irrégularités ; </w:t>
            </w:r>
          </w:p>
          <w:p w14:paraId="3860EE30" w14:textId="3D4D5D8E" w:rsidR="004A2404" w:rsidRPr="005E627D" w:rsidRDefault="004A2404" w:rsidP="00ED4F09">
            <w:pPr>
              <w:pStyle w:val="numbering2"/>
              <w:numPr>
                <w:ilvl w:val="0"/>
                <w:numId w:val="125"/>
              </w:numPr>
              <w:ind w:left="2148"/>
            </w:pPr>
            <w:proofErr w:type="gramStart"/>
            <w:r w:rsidRPr="005E627D">
              <w:t>la</w:t>
            </w:r>
            <w:proofErr w:type="gramEnd"/>
            <w:r w:rsidRPr="005E627D">
              <w:t xml:space="preserve"> gestion appropriée des risques concernant la légalité et la régularité des opérations sous-jacentes, en tenant compte de la nature des paiements concernés. </w:t>
            </w:r>
          </w:p>
          <w:p w14:paraId="799E749C" w14:textId="3CC58BFF" w:rsidR="004A2404" w:rsidRPr="00834834" w:rsidRDefault="004A2404" w:rsidP="00ED4F09">
            <w:pPr>
              <w:pStyle w:val="ListParagraph"/>
              <w:numPr>
                <w:ilvl w:val="0"/>
                <w:numId w:val="8"/>
              </w:numPr>
              <w:rPr>
                <w:sz w:val="24"/>
                <w:szCs w:val="24"/>
              </w:rPr>
            </w:pPr>
            <w:r w:rsidRPr="00834834">
              <w:t>Un contrôle interne efficace est fondé sur les bonnes pratiques internationales et comprend notamment</w:t>
            </w:r>
            <w:r w:rsidRPr="00834834">
              <w:rPr>
                <w:sz w:val="24"/>
                <w:szCs w:val="24"/>
              </w:rPr>
              <w:t xml:space="preserve"> : </w:t>
            </w:r>
          </w:p>
          <w:p w14:paraId="312E7A0C" w14:textId="6AE680CC" w:rsidR="000C03D3" w:rsidRPr="005E627D" w:rsidRDefault="004A2404" w:rsidP="00ED4F09">
            <w:pPr>
              <w:pStyle w:val="numbering2"/>
              <w:numPr>
                <w:ilvl w:val="0"/>
                <w:numId w:val="126"/>
              </w:numPr>
              <w:ind w:left="2148"/>
            </w:pPr>
            <w:proofErr w:type="gramStart"/>
            <w:r w:rsidRPr="005E627D">
              <w:t>la</w:t>
            </w:r>
            <w:proofErr w:type="gramEnd"/>
            <w:r w:rsidRPr="005E627D">
              <w:t xml:space="preserve"> séparation des tâches ;</w:t>
            </w:r>
          </w:p>
          <w:p w14:paraId="6016A30A" w14:textId="77777777" w:rsidR="000C03D3" w:rsidRPr="005E627D" w:rsidRDefault="004A2404" w:rsidP="00ED4F09">
            <w:pPr>
              <w:pStyle w:val="numbering2"/>
              <w:numPr>
                <w:ilvl w:val="0"/>
                <w:numId w:val="126"/>
              </w:numPr>
              <w:ind w:left="2148"/>
            </w:pPr>
            <w:proofErr w:type="gramStart"/>
            <w:r w:rsidRPr="005E627D">
              <w:t>une</w:t>
            </w:r>
            <w:proofErr w:type="gramEnd"/>
            <w:r w:rsidRPr="005E627D">
              <w:t xml:space="preserve"> stratégie appropriée de contrôle et de gestion des risques ; </w:t>
            </w:r>
          </w:p>
          <w:p w14:paraId="10EB891C" w14:textId="77777777" w:rsidR="00972101" w:rsidRPr="005E627D" w:rsidRDefault="004A2404" w:rsidP="00ED4F09">
            <w:pPr>
              <w:pStyle w:val="numbering2"/>
              <w:numPr>
                <w:ilvl w:val="0"/>
                <w:numId w:val="126"/>
              </w:numPr>
              <w:ind w:left="2148"/>
            </w:pPr>
            <w:proofErr w:type="gramStart"/>
            <w:r w:rsidRPr="005E627D">
              <w:t>la</w:t>
            </w:r>
            <w:proofErr w:type="gramEnd"/>
            <w:r w:rsidRPr="005E627D">
              <w:t xml:space="preserve"> prévention des conflits d’intérêts ;</w:t>
            </w:r>
          </w:p>
          <w:p w14:paraId="5790E602" w14:textId="77777777" w:rsidR="00972101" w:rsidRPr="005E627D" w:rsidRDefault="004A2404" w:rsidP="00ED4F09">
            <w:pPr>
              <w:pStyle w:val="numbering2"/>
              <w:numPr>
                <w:ilvl w:val="0"/>
                <w:numId w:val="126"/>
              </w:numPr>
              <w:ind w:left="2148"/>
            </w:pPr>
            <w:proofErr w:type="gramStart"/>
            <w:r w:rsidRPr="005E627D">
              <w:t>des</w:t>
            </w:r>
            <w:proofErr w:type="gramEnd"/>
            <w:r w:rsidRPr="005E627D">
              <w:t xml:space="preserve"> pistes d</w:t>
            </w:r>
            <w:r w:rsidR="00D0034C" w:rsidRPr="005E627D">
              <w:t>’</w:t>
            </w:r>
            <w:r w:rsidRPr="005E627D">
              <w:t>audit adéquates et l</w:t>
            </w:r>
            <w:r w:rsidR="00D0034C" w:rsidRPr="005E627D">
              <w:t>’</w:t>
            </w:r>
            <w:r w:rsidRPr="005E627D">
              <w:t>intégrité des données dans les bases de données ;</w:t>
            </w:r>
          </w:p>
          <w:p w14:paraId="58CFE604" w14:textId="77777777" w:rsidR="00972101" w:rsidRPr="005E627D" w:rsidRDefault="004A2404" w:rsidP="00ED4F09">
            <w:pPr>
              <w:pStyle w:val="numbering2"/>
              <w:numPr>
                <w:ilvl w:val="0"/>
                <w:numId w:val="126"/>
              </w:numPr>
              <w:ind w:left="2148"/>
            </w:pPr>
            <w:proofErr w:type="gramStart"/>
            <w:r w:rsidRPr="005E627D">
              <w:t>des</w:t>
            </w:r>
            <w:proofErr w:type="gramEnd"/>
            <w:r w:rsidRPr="005E627D">
              <w:t xml:space="preserve"> procédures pour le suivi des performances et pour le suivi des déficiences de contrôle interne identifiées et des exceptions ;</w:t>
            </w:r>
          </w:p>
          <w:p w14:paraId="59285572" w14:textId="33EE5216" w:rsidR="004A2404" w:rsidRPr="005E627D" w:rsidRDefault="004A2404" w:rsidP="00ED4F09">
            <w:pPr>
              <w:pStyle w:val="numbering2"/>
              <w:numPr>
                <w:ilvl w:val="0"/>
                <w:numId w:val="126"/>
              </w:numPr>
              <w:ind w:left="2148"/>
            </w:pPr>
            <w:proofErr w:type="gramStart"/>
            <w:r w:rsidRPr="005E627D">
              <w:t>une</w:t>
            </w:r>
            <w:proofErr w:type="gramEnd"/>
            <w:r w:rsidRPr="005E627D">
              <w:t xml:space="preserve"> évaluation périodique du bon fonctionnement du système de contrôle interne. </w:t>
            </w:r>
          </w:p>
          <w:p w14:paraId="7B62CC34" w14:textId="227AA4BD" w:rsidR="004A2404" w:rsidRPr="00834834" w:rsidRDefault="004A2404" w:rsidP="00ED4F09">
            <w:pPr>
              <w:pStyle w:val="numbering2"/>
              <w:numPr>
                <w:ilvl w:val="0"/>
                <w:numId w:val="8"/>
              </w:numPr>
              <w:rPr>
                <w:rFonts w:eastAsia="MS Gothic"/>
              </w:rPr>
            </w:pPr>
            <w:r w:rsidRPr="00834834">
              <w:rPr>
                <w:rFonts w:eastAsia="MS Gothic"/>
              </w:rPr>
              <w:t xml:space="preserve">Un contrôle interne efficient repose sur les éléments suivants : </w:t>
            </w:r>
          </w:p>
          <w:p w14:paraId="6CEFE60C" w14:textId="77777777" w:rsidR="00566D82" w:rsidRPr="00972101" w:rsidRDefault="004A2404" w:rsidP="00ED4F09">
            <w:pPr>
              <w:pStyle w:val="numbering2"/>
              <w:numPr>
                <w:ilvl w:val="0"/>
                <w:numId w:val="9"/>
              </w:numPr>
              <w:ind w:left="2295"/>
            </w:pPr>
            <w:proofErr w:type="gramStart"/>
            <w:r w:rsidRPr="00972101">
              <w:t>la</w:t>
            </w:r>
            <w:proofErr w:type="gramEnd"/>
            <w:r w:rsidRPr="00972101">
              <w:t xml:space="preserve"> mise en œuvre d</w:t>
            </w:r>
            <w:r w:rsidR="00D0034C" w:rsidRPr="00972101">
              <w:t>’</w:t>
            </w:r>
            <w:r w:rsidRPr="00972101">
              <w:t xml:space="preserve">une stratégie appropriée de contrôle et de gestion des risques, coordonnée entre les acteurs compétents de la chaîne de contrôle ; </w:t>
            </w:r>
          </w:p>
          <w:p w14:paraId="09A46F83" w14:textId="77777777" w:rsidR="00566D82" w:rsidRPr="00972101" w:rsidRDefault="004A2404" w:rsidP="00ED4F09">
            <w:pPr>
              <w:pStyle w:val="numbering2"/>
              <w:numPr>
                <w:ilvl w:val="0"/>
                <w:numId w:val="9"/>
              </w:numPr>
              <w:ind w:left="2295"/>
            </w:pPr>
            <w:proofErr w:type="gramStart"/>
            <w:r w:rsidRPr="00972101">
              <w:t>la</w:t>
            </w:r>
            <w:proofErr w:type="gramEnd"/>
            <w:r w:rsidRPr="00972101">
              <w:t xml:space="preserve"> possibilité, pour tous les acteurs compétents de la chaîne de contrôle, d</w:t>
            </w:r>
            <w:r w:rsidR="00D0034C" w:rsidRPr="00972101">
              <w:t>’</w:t>
            </w:r>
            <w:r w:rsidRPr="00972101">
              <w:t>accéder aux rés</w:t>
            </w:r>
            <w:r w:rsidR="00566D82" w:rsidRPr="00972101">
              <w:t>ultats des contrôles réalisés ;</w:t>
            </w:r>
          </w:p>
          <w:p w14:paraId="3C3AD190" w14:textId="77777777" w:rsidR="00566D82" w:rsidRPr="00972101" w:rsidRDefault="004A2404" w:rsidP="00ED4F09">
            <w:pPr>
              <w:pStyle w:val="numbering2"/>
              <w:numPr>
                <w:ilvl w:val="0"/>
                <w:numId w:val="9"/>
              </w:numPr>
              <w:ind w:left="2295"/>
            </w:pPr>
            <w:proofErr w:type="gramStart"/>
            <w:r w:rsidRPr="00972101">
              <w:t>l</w:t>
            </w:r>
            <w:r w:rsidR="00D0034C" w:rsidRPr="00972101">
              <w:t>’</w:t>
            </w:r>
            <w:r w:rsidRPr="00972101">
              <w:t>application</w:t>
            </w:r>
            <w:proofErr w:type="gramEnd"/>
            <w:r w:rsidRPr="00972101">
              <w:t xml:space="preserve"> en temps utile de mesures correctrices ; </w:t>
            </w:r>
          </w:p>
          <w:p w14:paraId="4EDBCF54" w14:textId="77777777" w:rsidR="00566D82" w:rsidRPr="00972101" w:rsidRDefault="004A2404" w:rsidP="00ED4F09">
            <w:pPr>
              <w:pStyle w:val="numbering2"/>
              <w:numPr>
                <w:ilvl w:val="0"/>
                <w:numId w:val="9"/>
              </w:numPr>
              <w:ind w:left="2295"/>
            </w:pPr>
            <w:proofErr w:type="gramStart"/>
            <w:r w:rsidRPr="00972101">
              <w:t>l’élimination</w:t>
            </w:r>
            <w:proofErr w:type="gramEnd"/>
            <w:r w:rsidRPr="00972101">
              <w:t xml:space="preserve"> des contrôles multiples ; </w:t>
            </w:r>
          </w:p>
          <w:p w14:paraId="7062604E" w14:textId="7E9836AE" w:rsidR="004A2404" w:rsidRPr="0039221D" w:rsidRDefault="004A2404" w:rsidP="00ED4F09">
            <w:pPr>
              <w:pStyle w:val="numbering2"/>
              <w:numPr>
                <w:ilvl w:val="0"/>
                <w:numId w:val="9"/>
              </w:numPr>
              <w:ind w:left="2295"/>
            </w:pPr>
            <w:proofErr w:type="gramStart"/>
            <w:r w:rsidRPr="00972101">
              <w:t>l</w:t>
            </w:r>
            <w:r w:rsidR="00D0034C" w:rsidRPr="00972101">
              <w:t>’</w:t>
            </w:r>
            <w:r w:rsidRPr="00972101">
              <w:t>amélioration</w:t>
            </w:r>
            <w:proofErr w:type="gramEnd"/>
            <w:r w:rsidRPr="00972101">
              <w:t xml:space="preserve"> du rapport coûts-avantages des contrôles</w:t>
            </w:r>
            <w:r w:rsidRPr="00972101">
              <w:rPr>
                <w:szCs w:val="24"/>
              </w:rPr>
              <w:t>.</w:t>
            </w:r>
          </w:p>
          <w:p w14:paraId="30769B16" w14:textId="77777777" w:rsidR="0039221D" w:rsidRPr="00972101" w:rsidRDefault="0039221D" w:rsidP="0039221D">
            <w:pPr>
              <w:pStyle w:val="numbering2"/>
              <w:ind w:left="2295"/>
            </w:pPr>
          </w:p>
          <w:p w14:paraId="09158634" w14:textId="70EF83F2" w:rsidR="004A2404" w:rsidRPr="00834834" w:rsidRDefault="004A2404" w:rsidP="00972101">
            <w:pPr>
              <w:pStyle w:val="Subtitle"/>
              <w:rPr>
                <w:strike/>
                <w:lang w:val="fr-BE"/>
              </w:rPr>
            </w:pPr>
            <w:r w:rsidRPr="00834834">
              <w:rPr>
                <w:lang w:val="fr-BE"/>
              </w:rPr>
              <w:lastRenderedPageBreak/>
              <w:t>Article</w:t>
            </w:r>
            <w:r w:rsidR="00D0034C" w:rsidRPr="00834834">
              <w:rPr>
                <w:lang w:val="fr-BE"/>
              </w:rPr>
              <w:t> </w:t>
            </w:r>
            <w:r w:rsidRPr="00834834">
              <w:rPr>
                <w:lang w:val="fr-BE"/>
              </w:rPr>
              <w:t>5</w:t>
            </w:r>
          </w:p>
          <w:p w14:paraId="19CA21BB" w14:textId="30572B54" w:rsidR="004A2404" w:rsidRPr="00834834" w:rsidRDefault="001303C6" w:rsidP="00972101">
            <w:pPr>
              <w:pStyle w:val="Subtitle"/>
              <w:rPr>
                <w:lang w:val="fr-BE"/>
              </w:rPr>
            </w:pPr>
            <w:r w:rsidRPr="00834834">
              <w:rPr>
                <w:lang w:val="fr-BE"/>
              </w:rPr>
              <w:t>Principe d</w:t>
            </w:r>
            <w:r w:rsidR="00D0034C" w:rsidRPr="00834834">
              <w:rPr>
                <w:lang w:val="fr-BE"/>
              </w:rPr>
              <w:t>’</w:t>
            </w:r>
            <w:r w:rsidRPr="00834834">
              <w:rPr>
                <w:lang w:val="fr-BE"/>
              </w:rPr>
              <w:t>universalité. Définition et champ d</w:t>
            </w:r>
            <w:r w:rsidR="00D0034C" w:rsidRPr="00834834">
              <w:rPr>
                <w:lang w:val="fr-BE"/>
              </w:rPr>
              <w:t>’</w:t>
            </w:r>
            <w:r w:rsidRPr="00834834">
              <w:rPr>
                <w:lang w:val="fr-BE"/>
              </w:rPr>
              <w:t>application</w:t>
            </w:r>
          </w:p>
          <w:p w14:paraId="7A7CB62E" w14:textId="20939D33" w:rsidR="004A2404" w:rsidRPr="00834834" w:rsidRDefault="004A2404" w:rsidP="00972101">
            <w:pPr>
              <w:rPr>
                <w:rFonts w:ascii="Times New Roman" w:hAnsi="Times New Roman"/>
                <w:sz w:val="24"/>
                <w:szCs w:val="24"/>
                <w:lang w:val="fr-BE"/>
              </w:rPr>
            </w:pPr>
            <w:r w:rsidRPr="00972101">
              <w:rPr>
                <w:lang w:val="fr-BE"/>
              </w:rPr>
              <w:t>Sans préjudice de l</w:t>
            </w:r>
            <w:r w:rsidR="00D0034C" w:rsidRPr="00972101">
              <w:rPr>
                <w:lang w:val="fr-BE"/>
              </w:rPr>
              <w:t>’</w:t>
            </w:r>
            <w:r w:rsidRPr="00972101">
              <w:rPr>
                <w:lang w:val="fr-BE"/>
              </w:rPr>
              <w:t>article 8, les recettes et les dépenses sont inscrites pour leur montant intégral sans contraction entre elles. Sans préjudice de l</w:t>
            </w:r>
            <w:r w:rsidR="00D0034C" w:rsidRPr="00972101">
              <w:rPr>
                <w:lang w:val="fr-BE"/>
              </w:rPr>
              <w:t>’</w:t>
            </w:r>
            <w:r w:rsidRPr="00972101">
              <w:rPr>
                <w:lang w:val="fr-BE"/>
              </w:rPr>
              <w:t>article 6, l</w:t>
            </w:r>
            <w:r w:rsidR="00D0034C" w:rsidRPr="00972101">
              <w:rPr>
                <w:lang w:val="fr-BE"/>
              </w:rPr>
              <w:t>’</w:t>
            </w:r>
            <w:r w:rsidRPr="00972101">
              <w:rPr>
                <w:lang w:val="fr-BE"/>
              </w:rPr>
              <w:t>ensemble des recettes couvre l</w:t>
            </w:r>
            <w:r w:rsidR="00D0034C" w:rsidRPr="00972101">
              <w:rPr>
                <w:lang w:val="fr-BE"/>
              </w:rPr>
              <w:t>’</w:t>
            </w:r>
            <w:r w:rsidRPr="00972101">
              <w:rPr>
                <w:lang w:val="fr-BE"/>
              </w:rPr>
              <w:t>ensemble des dépenses sans affectations</w:t>
            </w:r>
            <w:r w:rsidRPr="00834834">
              <w:rPr>
                <w:rFonts w:ascii="Times New Roman" w:hAnsi="Times New Roman"/>
                <w:sz w:val="24"/>
                <w:szCs w:val="24"/>
                <w:lang w:val="fr-BE"/>
              </w:rPr>
              <w:t xml:space="preserve"> entre elles.</w:t>
            </w:r>
          </w:p>
          <w:p w14:paraId="1D660C35" w14:textId="5537040F" w:rsidR="004A2404" w:rsidRPr="00834834" w:rsidRDefault="004A2404" w:rsidP="00972101">
            <w:pPr>
              <w:pStyle w:val="Subtitle"/>
              <w:rPr>
                <w:lang w:val="fr-BE"/>
              </w:rPr>
            </w:pPr>
            <w:r w:rsidRPr="00834834">
              <w:rPr>
                <w:lang w:val="fr-BE"/>
              </w:rPr>
              <w:t>Article</w:t>
            </w:r>
            <w:r w:rsidR="00D0034C" w:rsidRPr="00834834">
              <w:rPr>
                <w:lang w:val="fr-BE"/>
              </w:rPr>
              <w:t> </w:t>
            </w:r>
            <w:r w:rsidRPr="00834834">
              <w:rPr>
                <w:lang w:val="fr-BE"/>
              </w:rPr>
              <w:t>6</w:t>
            </w:r>
          </w:p>
          <w:p w14:paraId="6EEF0CB7" w14:textId="3AA3A2CB" w:rsidR="004A2404" w:rsidRPr="00834834" w:rsidRDefault="004A2404" w:rsidP="00972101">
            <w:pPr>
              <w:pStyle w:val="Subtitle"/>
              <w:rPr>
                <w:lang w:val="fr-BE"/>
              </w:rPr>
            </w:pPr>
            <w:r w:rsidRPr="00834834">
              <w:rPr>
                <w:lang w:val="fr-BE"/>
              </w:rPr>
              <w:t>Recettes affectées</w:t>
            </w:r>
          </w:p>
          <w:p w14:paraId="63C7C2E9" w14:textId="7D20CAF1" w:rsidR="004A2404" w:rsidRPr="00972101" w:rsidRDefault="004A2404" w:rsidP="00972101">
            <w:r w:rsidRPr="00834834">
              <w:rPr>
                <w:rFonts w:ascii="Times New Roman" w:hAnsi="Times New Roman"/>
                <w:sz w:val="24"/>
                <w:szCs w:val="24"/>
                <w:lang w:val="fr-BE"/>
              </w:rPr>
              <w:t xml:space="preserve">Les </w:t>
            </w:r>
            <w:r w:rsidRPr="00972101">
              <w:rPr>
                <w:lang w:val="fr-BE"/>
              </w:rPr>
              <w:t>recettes affectées sont utilisées pour financer des dépenses spécifiques et ne peuvent être utilisées à d</w:t>
            </w:r>
            <w:r w:rsidR="00D0034C" w:rsidRPr="00972101">
              <w:rPr>
                <w:lang w:val="fr-BE"/>
              </w:rPr>
              <w:t>’</w:t>
            </w:r>
            <w:r w:rsidRPr="00972101">
              <w:rPr>
                <w:lang w:val="fr-BE"/>
              </w:rPr>
              <w:t>autres fins</w:t>
            </w:r>
            <w:r w:rsidRPr="00834834">
              <w:rPr>
                <w:rFonts w:ascii="Times New Roman" w:hAnsi="Times New Roman"/>
                <w:sz w:val="24"/>
                <w:szCs w:val="24"/>
                <w:lang w:val="fr-BE"/>
              </w:rPr>
              <w:t xml:space="preserve">. </w:t>
            </w:r>
            <w:r w:rsidRPr="00972101">
              <w:t xml:space="preserve">Constituent des </w:t>
            </w:r>
            <w:proofErr w:type="spellStart"/>
            <w:r w:rsidRPr="00972101">
              <w:t>recettes</w:t>
            </w:r>
            <w:proofErr w:type="spellEnd"/>
            <w:r w:rsidRPr="00972101">
              <w:t xml:space="preserve"> </w:t>
            </w:r>
            <w:proofErr w:type="spellStart"/>
            <w:proofErr w:type="gramStart"/>
            <w:r w:rsidRPr="00972101">
              <w:t>affectées</w:t>
            </w:r>
            <w:proofErr w:type="spellEnd"/>
            <w:r w:rsidRPr="00972101">
              <w:t> :</w:t>
            </w:r>
            <w:proofErr w:type="gramEnd"/>
          </w:p>
          <w:p w14:paraId="106854EE" w14:textId="3D0C6CFC" w:rsidR="00566D82" w:rsidRPr="005E627D" w:rsidRDefault="004A2404" w:rsidP="00ED4F09">
            <w:pPr>
              <w:pStyle w:val="numbering2"/>
              <w:numPr>
                <w:ilvl w:val="0"/>
                <w:numId w:val="127"/>
              </w:numPr>
              <w:ind w:left="2148"/>
            </w:pPr>
            <w:proofErr w:type="gramStart"/>
            <w:r w:rsidRPr="005E627D">
              <w:t>les</w:t>
            </w:r>
            <w:proofErr w:type="gramEnd"/>
            <w:r w:rsidRPr="005E627D">
              <w:t xml:space="preserve"> recettes provenant de la restitution des sommes payées indûment sur les crédits budgétaires ;</w:t>
            </w:r>
          </w:p>
          <w:p w14:paraId="6CD9F712" w14:textId="77777777" w:rsidR="00566D82" w:rsidRPr="005E627D" w:rsidRDefault="004A2404" w:rsidP="00ED4F09">
            <w:pPr>
              <w:pStyle w:val="numbering2"/>
              <w:numPr>
                <w:ilvl w:val="0"/>
                <w:numId w:val="127"/>
              </w:numPr>
              <w:ind w:left="2148"/>
            </w:pPr>
            <w:proofErr w:type="gramStart"/>
            <w:r w:rsidRPr="005E627D">
              <w:t>le</w:t>
            </w:r>
            <w:proofErr w:type="gramEnd"/>
            <w:r w:rsidRPr="005E627D">
              <w:t xml:space="preserve"> montant des indemnités d</w:t>
            </w:r>
            <w:r w:rsidR="00D0034C" w:rsidRPr="005E627D">
              <w:t>’</w:t>
            </w:r>
            <w:r w:rsidRPr="005E627D">
              <w:t>assurances perçues ;</w:t>
            </w:r>
          </w:p>
          <w:p w14:paraId="08692B57" w14:textId="77777777" w:rsidR="00566D82" w:rsidRPr="005E627D" w:rsidRDefault="004A2404" w:rsidP="00ED4F09">
            <w:pPr>
              <w:pStyle w:val="numbering2"/>
              <w:numPr>
                <w:ilvl w:val="0"/>
                <w:numId w:val="127"/>
              </w:numPr>
              <w:ind w:left="2148"/>
            </w:pPr>
            <w:proofErr w:type="gramStart"/>
            <w:r w:rsidRPr="005E627D">
              <w:t>les</w:t>
            </w:r>
            <w:proofErr w:type="gramEnd"/>
            <w:r w:rsidRPr="005E627D">
              <w:t xml:space="preserve"> recettes provenant de la vente de publications ;</w:t>
            </w:r>
          </w:p>
          <w:p w14:paraId="2ACA29B4" w14:textId="77777777" w:rsidR="00566D82" w:rsidRPr="005E627D" w:rsidRDefault="004A2404" w:rsidP="00ED4F09">
            <w:pPr>
              <w:pStyle w:val="numbering2"/>
              <w:numPr>
                <w:ilvl w:val="0"/>
                <w:numId w:val="127"/>
              </w:numPr>
              <w:ind w:left="2148"/>
            </w:pPr>
            <w:proofErr w:type="gramStart"/>
            <w:r w:rsidRPr="005E627D">
              <w:t>le</w:t>
            </w:r>
            <w:proofErr w:type="gramEnd"/>
            <w:r w:rsidRPr="005E627D">
              <w:t xml:space="preserve"> montant de la restitution des taxes – comprises dans le prix des biens ou services fournis aux Écoles – remboursées par les États membres en vertu des accords passés entre les États membres hôtes d</w:t>
            </w:r>
            <w:r w:rsidR="00D0034C" w:rsidRPr="005E627D">
              <w:t>’</w:t>
            </w:r>
            <w:r w:rsidRPr="005E627D">
              <w:t>une ou plusieurs Écoles européennes et le Conseil supérieur ;</w:t>
            </w:r>
          </w:p>
          <w:p w14:paraId="3F4D23A6" w14:textId="77777777" w:rsidR="00566D82" w:rsidRPr="005E627D" w:rsidRDefault="004A2404" w:rsidP="00ED4F09">
            <w:pPr>
              <w:pStyle w:val="numbering2"/>
              <w:numPr>
                <w:ilvl w:val="0"/>
                <w:numId w:val="127"/>
              </w:numPr>
              <w:ind w:left="2148"/>
            </w:pPr>
            <w:proofErr w:type="gramStart"/>
            <w:r w:rsidRPr="005E627D">
              <w:t>les</w:t>
            </w:r>
            <w:proofErr w:type="gramEnd"/>
            <w:r w:rsidRPr="005E627D">
              <w:t xml:space="preserve"> recettes provenant de tiers pour la fourniture de biens ou de services effectuée à titre onéreux ;</w:t>
            </w:r>
          </w:p>
          <w:p w14:paraId="604F1E3D" w14:textId="77777777" w:rsidR="00566D82" w:rsidRPr="005E627D" w:rsidRDefault="004A2404" w:rsidP="00ED4F09">
            <w:pPr>
              <w:pStyle w:val="numbering2"/>
              <w:numPr>
                <w:ilvl w:val="0"/>
                <w:numId w:val="127"/>
              </w:numPr>
              <w:ind w:left="2148"/>
            </w:pPr>
            <w:proofErr w:type="gramStart"/>
            <w:r w:rsidRPr="005E627D">
              <w:t>le</w:t>
            </w:r>
            <w:proofErr w:type="gramEnd"/>
            <w:r w:rsidRPr="005E627D">
              <w:t xml:space="preserve"> produit provenant de la vente des véhicules, des matériels et des installations cédés à l</w:t>
            </w:r>
            <w:r w:rsidR="00D0034C" w:rsidRPr="005E627D">
              <w:t>’</w:t>
            </w:r>
            <w:r w:rsidRPr="005E627D">
              <w:t>occasion de leur renouvellement ;</w:t>
            </w:r>
          </w:p>
          <w:p w14:paraId="7453042B" w14:textId="3E96DF97" w:rsidR="00511891" w:rsidRPr="005E627D" w:rsidRDefault="004A2404" w:rsidP="00ED4F09">
            <w:pPr>
              <w:pStyle w:val="numbering2"/>
              <w:numPr>
                <w:ilvl w:val="0"/>
                <w:numId w:val="127"/>
              </w:numPr>
              <w:ind w:left="2148"/>
            </w:pPr>
            <w:proofErr w:type="gramStart"/>
            <w:r w:rsidRPr="005E627D">
              <w:t>les</w:t>
            </w:r>
            <w:proofErr w:type="gramEnd"/>
            <w:r w:rsidRPr="005E627D">
              <w:t xml:space="preserve"> libéralités et subventions autres que celles portées au budget.</w:t>
            </w:r>
          </w:p>
          <w:p w14:paraId="2FD3D8F0" w14:textId="7529FE65" w:rsidR="00635F96" w:rsidRPr="00972101" w:rsidRDefault="004A2404" w:rsidP="00972101">
            <w:pPr>
              <w:pStyle w:val="Subtitle"/>
            </w:pPr>
            <w:r w:rsidRPr="00972101">
              <w:t>Article</w:t>
            </w:r>
            <w:r w:rsidR="00D0034C" w:rsidRPr="00972101">
              <w:t> </w:t>
            </w:r>
            <w:r w:rsidRPr="00972101">
              <w:t xml:space="preserve">7 </w:t>
            </w:r>
          </w:p>
          <w:p w14:paraId="153E2F74" w14:textId="50134141" w:rsidR="00790817" w:rsidRPr="00972101" w:rsidRDefault="004A2404" w:rsidP="00972101">
            <w:pPr>
              <w:pStyle w:val="Subtitle"/>
            </w:pPr>
            <w:proofErr w:type="spellStart"/>
            <w:r w:rsidRPr="00972101">
              <w:t>Libéralités</w:t>
            </w:r>
            <w:proofErr w:type="spellEnd"/>
          </w:p>
          <w:p w14:paraId="54018138" w14:textId="7CD496C6" w:rsidR="004A2404" w:rsidRPr="00834834" w:rsidRDefault="00CB57BE" w:rsidP="00ED4F09">
            <w:pPr>
              <w:pStyle w:val="ListParagraph"/>
              <w:numPr>
                <w:ilvl w:val="0"/>
                <w:numId w:val="10"/>
              </w:numPr>
              <w:ind w:left="1161"/>
            </w:pPr>
            <w:r w:rsidRPr="00834834">
              <w:t>Les Écoles peuvent accepter toutes libéralités et subventions. Lorsque ces libéralités et subventions ne sont pas incluses au budget, elles peuvent être réemployées conformément à l</w:t>
            </w:r>
            <w:r w:rsidR="00D0034C" w:rsidRPr="00834834">
              <w:t>’</w:t>
            </w:r>
            <w:r w:rsidRPr="00834834">
              <w:t>article</w:t>
            </w:r>
            <w:r w:rsidR="00D0034C" w:rsidRPr="00834834">
              <w:t> </w:t>
            </w:r>
            <w:r w:rsidRPr="00834834">
              <w:t>14, paragraphe 3.</w:t>
            </w:r>
          </w:p>
          <w:p w14:paraId="100BE5F0" w14:textId="1BFBA62B" w:rsidR="00790817" w:rsidRPr="00834834" w:rsidRDefault="004A2404" w:rsidP="00ED4F09">
            <w:pPr>
              <w:pStyle w:val="ListParagraph"/>
              <w:numPr>
                <w:ilvl w:val="0"/>
                <w:numId w:val="10"/>
              </w:numPr>
              <w:ind w:left="1161"/>
            </w:pPr>
            <w:r w:rsidRPr="00834834">
              <w:t>L</w:t>
            </w:r>
            <w:r w:rsidR="00D0034C" w:rsidRPr="00834834">
              <w:t>’</w:t>
            </w:r>
            <w:r w:rsidRPr="00834834">
              <w:t>acceptation de libéralités susceptibles d</w:t>
            </w:r>
            <w:r w:rsidR="00D0034C" w:rsidRPr="00834834">
              <w:t>’</w:t>
            </w:r>
            <w:r w:rsidRPr="00834834">
              <w:t>entraîner des charges quelconques est soumise à l</w:t>
            </w:r>
            <w:r w:rsidR="00D0034C" w:rsidRPr="00834834">
              <w:t>’</w:t>
            </w:r>
            <w:r w:rsidRPr="00834834">
              <w:t>autorisation préalable du Conseil supérieur.</w:t>
            </w:r>
          </w:p>
          <w:p w14:paraId="68EC316F" w14:textId="678E996C" w:rsidR="004A2404" w:rsidRPr="00834834" w:rsidRDefault="004A2404" w:rsidP="00ED4F09">
            <w:pPr>
              <w:pStyle w:val="numbering2"/>
              <w:numPr>
                <w:ilvl w:val="0"/>
                <w:numId w:val="10"/>
              </w:numPr>
              <w:ind w:left="1161"/>
            </w:pPr>
            <w:r w:rsidRPr="00834834">
              <w:t>Par dérogation au paragraphe</w:t>
            </w:r>
            <w:r w:rsidR="00D0034C" w:rsidRPr="00834834">
              <w:t> </w:t>
            </w:r>
            <w:r w:rsidRPr="00834834">
              <w:t>1, ces recettes, correspondant à une destination déterminée, conservent leurs affectations.</w:t>
            </w:r>
          </w:p>
          <w:p w14:paraId="22008354" w14:textId="30D0D0CD" w:rsidR="00A446AF" w:rsidRPr="00834834" w:rsidRDefault="00566D82" w:rsidP="00972101">
            <w:pPr>
              <w:pStyle w:val="Subtitle"/>
              <w:rPr>
                <w:lang w:val="fr-BE"/>
              </w:rPr>
            </w:pPr>
            <w:r w:rsidRPr="00834834">
              <w:rPr>
                <w:lang w:val="fr-BE"/>
              </w:rPr>
              <w:t>Article 7 bis</w:t>
            </w:r>
          </w:p>
          <w:p w14:paraId="08BAE0D8" w14:textId="55F59B5A" w:rsidR="00A446AF" w:rsidRPr="00834834" w:rsidRDefault="00A446AF" w:rsidP="00972101">
            <w:pPr>
              <w:pStyle w:val="Subtitle"/>
              <w:rPr>
                <w:lang w:val="fr-BE"/>
              </w:rPr>
            </w:pPr>
            <w:r w:rsidRPr="00834834">
              <w:rPr>
                <w:lang w:val="fr-BE"/>
              </w:rPr>
              <w:t>Parrainage d’entreprise</w:t>
            </w:r>
          </w:p>
          <w:p w14:paraId="04508235" w14:textId="19A344D5" w:rsidR="00A446AF" w:rsidRPr="005F3EA6" w:rsidRDefault="00A446AF" w:rsidP="00ED4F09">
            <w:pPr>
              <w:pStyle w:val="ListParagraph"/>
              <w:numPr>
                <w:ilvl w:val="0"/>
                <w:numId w:val="11"/>
              </w:numPr>
            </w:pPr>
            <w:r w:rsidRPr="005F3EA6">
              <w:t xml:space="preserve">On entend par « parrainage d’entreprise » un accord en vertu duquel une personne morale apporte un soutien en nature à une manifestation ou une activité à des fins promotionnelles ou </w:t>
            </w:r>
            <w:proofErr w:type="spellStart"/>
            <w:r w:rsidRPr="005F3EA6">
              <w:t>ux</w:t>
            </w:r>
            <w:proofErr w:type="spellEnd"/>
            <w:r w:rsidRPr="005F3EA6">
              <w:t xml:space="preserve"> fins de la responsabilité sociale des entreprises.</w:t>
            </w:r>
          </w:p>
          <w:p w14:paraId="1F9FE686" w14:textId="3B22AB49" w:rsidR="00A446AF" w:rsidRPr="005F3EA6" w:rsidRDefault="00A446AF" w:rsidP="00ED4F09">
            <w:pPr>
              <w:pStyle w:val="ListParagraph"/>
              <w:numPr>
                <w:ilvl w:val="0"/>
                <w:numId w:val="11"/>
              </w:numPr>
            </w:pPr>
            <w:r w:rsidRPr="005F3EA6">
              <w:t>Sur la base des règles internes spécifiques, qui sont publiées sur leurs sites internet respectifs, les Écoles peuvent accepter, à titre exceptionnel, un parrainage d’entreprise en nature pour autant que :</w:t>
            </w:r>
          </w:p>
          <w:p w14:paraId="545B7028" w14:textId="156DFC88" w:rsidR="00A446AF" w:rsidRPr="005E627D" w:rsidRDefault="00A446AF" w:rsidP="00ED4F09">
            <w:pPr>
              <w:pStyle w:val="numbering2"/>
              <w:numPr>
                <w:ilvl w:val="0"/>
                <w:numId w:val="128"/>
              </w:numPr>
              <w:ind w:left="2148"/>
            </w:pPr>
            <w:proofErr w:type="gramStart"/>
            <w:r w:rsidRPr="005E627D">
              <w:lastRenderedPageBreak/>
              <w:t>les</w:t>
            </w:r>
            <w:proofErr w:type="gramEnd"/>
            <w:r w:rsidRPr="005E627D">
              <w:t xml:space="preserve"> principes de non-discrimination, de proportionnalité, d’égalité de traitement et de transparence à toutes les étapes de la procédure d’acceptation d’un parrainage d’entreprise soient dûment respectés ; </w:t>
            </w:r>
          </w:p>
          <w:p w14:paraId="52EA8154" w14:textId="112893D1" w:rsidR="00A446AF" w:rsidRPr="005E627D" w:rsidRDefault="00A446AF" w:rsidP="00ED4F09">
            <w:pPr>
              <w:pStyle w:val="numbering2"/>
              <w:numPr>
                <w:ilvl w:val="0"/>
                <w:numId w:val="128"/>
              </w:numPr>
              <w:ind w:left="2148"/>
            </w:pPr>
            <w:proofErr w:type="gramStart"/>
            <w:r w:rsidRPr="005E627D">
              <w:t>ce</w:t>
            </w:r>
            <w:proofErr w:type="gramEnd"/>
            <w:r w:rsidRPr="005E627D">
              <w:t xml:space="preserve"> parrainage contribue positivement à l’image des Écoles et qu’il soit directement lié à l’objectif essentiel d’une manifestation ou d’une activité ;</w:t>
            </w:r>
          </w:p>
          <w:p w14:paraId="09704258" w14:textId="38988D4F" w:rsidR="00A446AF" w:rsidRPr="005E627D" w:rsidRDefault="00A446AF" w:rsidP="00ED4F09">
            <w:pPr>
              <w:pStyle w:val="numbering2"/>
              <w:numPr>
                <w:ilvl w:val="0"/>
                <w:numId w:val="128"/>
              </w:numPr>
              <w:ind w:left="2148"/>
            </w:pPr>
            <w:proofErr w:type="gramStart"/>
            <w:r w:rsidRPr="005E627D">
              <w:t>ce</w:t>
            </w:r>
            <w:proofErr w:type="gramEnd"/>
            <w:r w:rsidRPr="005E627D">
              <w:t xml:space="preserve"> parrainage ne génère pas de conflit d’intérêts et ne porte pas sur des manifestations à caractère exclusivement social ; </w:t>
            </w:r>
          </w:p>
          <w:p w14:paraId="32ADE0BE" w14:textId="4F71DCE0" w:rsidR="00A446AF" w:rsidRPr="005E627D" w:rsidRDefault="00A446AF" w:rsidP="00ED4F09">
            <w:pPr>
              <w:pStyle w:val="numbering2"/>
              <w:numPr>
                <w:ilvl w:val="0"/>
                <w:numId w:val="128"/>
              </w:numPr>
              <w:ind w:left="2148"/>
            </w:pPr>
            <w:proofErr w:type="gramStart"/>
            <w:r w:rsidRPr="005E627D">
              <w:t>la</w:t>
            </w:r>
            <w:proofErr w:type="gramEnd"/>
            <w:r w:rsidRPr="005E627D">
              <w:t xml:space="preserve"> manifestation ou l’activité n’est pas exclusivement financée par parrainage d’entreprise ; </w:t>
            </w:r>
          </w:p>
          <w:p w14:paraId="5393AA65" w14:textId="5E335AA9" w:rsidR="00A446AF" w:rsidRPr="005E627D" w:rsidRDefault="00A446AF" w:rsidP="00ED4F09">
            <w:pPr>
              <w:pStyle w:val="numbering2"/>
              <w:numPr>
                <w:ilvl w:val="0"/>
                <w:numId w:val="128"/>
              </w:numPr>
              <w:ind w:left="2148"/>
            </w:pPr>
            <w:proofErr w:type="gramStart"/>
            <w:r w:rsidRPr="005E627D">
              <w:t>le</w:t>
            </w:r>
            <w:proofErr w:type="gramEnd"/>
            <w:r w:rsidRPr="005E627D">
              <w:t xml:space="preserve"> service fourni en échange du parrainage d’entreprise se limite à assurer la visibilité publique de la marque commerciale ou du nom du parrain ; </w:t>
            </w:r>
          </w:p>
          <w:p w14:paraId="64A0AD48" w14:textId="7329E4B3" w:rsidR="00A446AF" w:rsidRPr="005E627D" w:rsidRDefault="00A446AF" w:rsidP="00ED4F09">
            <w:pPr>
              <w:pStyle w:val="numbering2"/>
              <w:numPr>
                <w:ilvl w:val="0"/>
                <w:numId w:val="128"/>
              </w:numPr>
              <w:ind w:left="2148"/>
            </w:pPr>
            <w:proofErr w:type="gramStart"/>
            <w:r w:rsidRPr="005E627D">
              <w:t>le</w:t>
            </w:r>
            <w:proofErr w:type="gramEnd"/>
            <w:r w:rsidRPr="005E627D">
              <w:t xml:space="preserve"> parrain ne se trouve pas, au moment de la procédure de parrainage, dans l’une des situations visées à l’article 136, paragraphe 1, et à l’article 141, paragraphe 1 du Règlement (UE, Euratom) 2018/1046 du Parlement européen et du Conseil du 18 juillet 2018 relatif aux règles financières applicables au budget général de l’Union et n’est pas enregistré comme étant exclu dans la base de données prévue à l’article 142, paragraphe 1, desdites règles financières. </w:t>
            </w:r>
          </w:p>
          <w:p w14:paraId="3A68AF23" w14:textId="19E08403" w:rsidR="00C3150A" w:rsidRPr="00834834" w:rsidRDefault="00C3150A" w:rsidP="00ED4F09">
            <w:pPr>
              <w:pStyle w:val="ListParagraph"/>
              <w:numPr>
                <w:ilvl w:val="0"/>
                <w:numId w:val="11"/>
              </w:numPr>
            </w:pPr>
            <w:r w:rsidRPr="00834834">
              <w:t>Lorsque la valeur du parrainage d’entreprise dépasse 5 000 EUR, le parrain est inscrit dans un registre conservé à l’École qui inclut des informations sur le type d’événement ou d’activité parrainé et les conditions du parrainage. Les informations consignées dans ce registre sont communiquées chaque année au Bureau du Secrétaire général, et toute partie intéressée y a également accès sur demande.</w:t>
            </w:r>
          </w:p>
          <w:p w14:paraId="48316496" w14:textId="64C3E574" w:rsidR="004A2404" w:rsidRPr="00834834" w:rsidRDefault="004A2404" w:rsidP="005F3EA6">
            <w:pPr>
              <w:pStyle w:val="Subtitle"/>
              <w:rPr>
                <w:lang w:val="fr-BE"/>
              </w:rPr>
            </w:pPr>
            <w:r w:rsidRPr="00834834">
              <w:rPr>
                <w:lang w:val="fr-BE"/>
              </w:rPr>
              <w:t>Article</w:t>
            </w:r>
            <w:r w:rsidR="00D0034C" w:rsidRPr="00834834">
              <w:rPr>
                <w:lang w:val="fr-BE"/>
              </w:rPr>
              <w:t> </w:t>
            </w:r>
            <w:r w:rsidRPr="00834834">
              <w:rPr>
                <w:lang w:val="fr-BE"/>
              </w:rPr>
              <w:t>8</w:t>
            </w:r>
          </w:p>
          <w:p w14:paraId="29ECB299" w14:textId="77777777" w:rsidR="004A2404" w:rsidRPr="00834834" w:rsidRDefault="004A2404" w:rsidP="005F3EA6">
            <w:pPr>
              <w:pStyle w:val="Subtitle"/>
              <w:rPr>
                <w:lang w:val="fr-BE"/>
              </w:rPr>
            </w:pPr>
            <w:r w:rsidRPr="00834834">
              <w:rPr>
                <w:lang w:val="fr-BE"/>
              </w:rPr>
              <w:t>Règles relatives aux retenues et aux ajustements liés aux variations de taux de change</w:t>
            </w:r>
          </w:p>
          <w:p w14:paraId="788C64D4" w14:textId="4BB3327C" w:rsidR="004A2404" w:rsidRPr="005F3EA6" w:rsidRDefault="004A2404" w:rsidP="00ED4F09">
            <w:pPr>
              <w:pStyle w:val="ListParagraph"/>
              <w:numPr>
                <w:ilvl w:val="0"/>
                <w:numId w:val="12"/>
              </w:numPr>
            </w:pPr>
            <w:r w:rsidRPr="005F3EA6">
              <w:t>Par dérogation à l</w:t>
            </w:r>
            <w:r w:rsidR="00D0034C" w:rsidRPr="005F3EA6">
              <w:t>’</w:t>
            </w:r>
            <w:r w:rsidRPr="005F3EA6">
              <w:t>article 5, peuvent être déduites du montant des demandes de paiement, factures ou états liquidatifs, qui, dans ce cas, sont ordonnancés pour le net :</w:t>
            </w:r>
          </w:p>
          <w:p w14:paraId="2E97400C" w14:textId="77777777" w:rsidR="00566D82" w:rsidRPr="005E627D" w:rsidRDefault="004A2404" w:rsidP="00ED4F09">
            <w:pPr>
              <w:pStyle w:val="numbering2"/>
              <w:numPr>
                <w:ilvl w:val="0"/>
                <w:numId w:val="129"/>
              </w:numPr>
              <w:ind w:left="2148"/>
            </w:pPr>
            <w:proofErr w:type="gramStart"/>
            <w:r w:rsidRPr="005E627D">
              <w:t>les</w:t>
            </w:r>
            <w:proofErr w:type="gramEnd"/>
            <w:r w:rsidRPr="005E627D">
              <w:t xml:space="preserve"> amendes infligées aux parties à un marché public ;</w:t>
            </w:r>
          </w:p>
          <w:p w14:paraId="784D49D2" w14:textId="57DF5BE1" w:rsidR="00566D82" w:rsidRPr="005E627D" w:rsidRDefault="004A2404" w:rsidP="00ED4F09">
            <w:pPr>
              <w:pStyle w:val="numbering2"/>
              <w:numPr>
                <w:ilvl w:val="0"/>
                <w:numId w:val="129"/>
              </w:numPr>
              <w:ind w:left="2148"/>
            </w:pPr>
            <w:proofErr w:type="gramStart"/>
            <w:r w:rsidRPr="005E627D">
              <w:t>les</w:t>
            </w:r>
            <w:proofErr w:type="gramEnd"/>
            <w:r w:rsidRPr="005E627D">
              <w:t xml:space="preserve"> régularisations des sommes indûment payées qui peuvent être opérées par voie de précompte à l</w:t>
            </w:r>
            <w:r w:rsidR="00D0034C" w:rsidRPr="005E627D">
              <w:t>’</w:t>
            </w:r>
            <w:r w:rsidRPr="005E627D">
              <w:t>occasion d</w:t>
            </w:r>
            <w:r w:rsidR="00D0034C" w:rsidRPr="005E627D">
              <w:t>’</w:t>
            </w:r>
            <w:r w:rsidRPr="005E627D">
              <w:t>une nouvelle liquidation vis-à-vis du même tiers ;</w:t>
            </w:r>
          </w:p>
          <w:p w14:paraId="41A9DA66" w14:textId="77777777" w:rsidR="00566D82" w:rsidRPr="005E627D" w:rsidRDefault="004A2404" w:rsidP="00ED4F09">
            <w:pPr>
              <w:pStyle w:val="numbering2"/>
              <w:numPr>
                <w:ilvl w:val="0"/>
                <w:numId w:val="129"/>
              </w:numPr>
              <w:ind w:left="2148"/>
            </w:pPr>
            <w:proofErr w:type="gramStart"/>
            <w:r w:rsidRPr="005E627D">
              <w:t>la</w:t>
            </w:r>
            <w:proofErr w:type="gramEnd"/>
            <w:r w:rsidRPr="005E627D">
              <w:t xml:space="preserve"> valeur d</w:t>
            </w:r>
            <w:r w:rsidR="00D0034C" w:rsidRPr="005E627D">
              <w:t>’</w:t>
            </w:r>
            <w:r w:rsidRPr="005E627D">
              <w:t>appareils et de matériels destinés à des fins pédagogiques, didactiques et techniques, ainsi que la valeur des véhicules, des matériels et des installations repris conformément aux usages commerciaux à l</w:t>
            </w:r>
            <w:r w:rsidR="00D0034C" w:rsidRPr="005E627D">
              <w:t>’</w:t>
            </w:r>
            <w:r w:rsidRPr="005E627D">
              <w:t>occasion de l</w:t>
            </w:r>
            <w:r w:rsidR="00D0034C" w:rsidRPr="005E627D">
              <w:t>’</w:t>
            </w:r>
            <w:r w:rsidRPr="005E627D">
              <w:t>acquisition d</w:t>
            </w:r>
            <w:r w:rsidR="00D0034C" w:rsidRPr="005E627D">
              <w:t>’</w:t>
            </w:r>
            <w:r w:rsidRPr="005E627D">
              <w:t>appareils, de véhicules, de matériels et d</w:t>
            </w:r>
            <w:r w:rsidR="00D0034C" w:rsidRPr="005E627D">
              <w:t>’</w:t>
            </w:r>
            <w:r w:rsidRPr="005E627D">
              <w:t>installations neufs de même nature ;</w:t>
            </w:r>
          </w:p>
          <w:p w14:paraId="131ED9AA" w14:textId="4FBDDBE6" w:rsidR="004A2404" w:rsidRPr="005E627D" w:rsidRDefault="00AF17BB" w:rsidP="00ED4F09">
            <w:pPr>
              <w:pStyle w:val="numbering2"/>
              <w:numPr>
                <w:ilvl w:val="0"/>
                <w:numId w:val="129"/>
              </w:numPr>
              <w:ind w:left="2148"/>
            </w:pPr>
            <w:proofErr w:type="gramStart"/>
            <w:r w:rsidRPr="005E627D">
              <w:t>il</w:t>
            </w:r>
            <w:proofErr w:type="gramEnd"/>
            <w:r w:rsidRPr="005E627D">
              <w:t xml:space="preserve"> n</w:t>
            </w:r>
            <w:r w:rsidR="00D0034C" w:rsidRPr="005E627D">
              <w:t>’</w:t>
            </w:r>
            <w:r w:rsidRPr="005E627D">
              <w:t>est pas fait recette distinctement des escomptes, ristournes et rabais déduits sur les factures et mémoires.</w:t>
            </w:r>
          </w:p>
          <w:p w14:paraId="2190FE1D" w14:textId="1387C0E9" w:rsidR="004A2404" w:rsidRPr="00834834" w:rsidRDefault="004A2404" w:rsidP="00ED4F09">
            <w:pPr>
              <w:pStyle w:val="ListParagraph"/>
              <w:numPr>
                <w:ilvl w:val="0"/>
                <w:numId w:val="12"/>
              </w:numPr>
              <w:rPr>
                <w:u w:val="single"/>
              </w:rPr>
            </w:pPr>
            <w:r w:rsidRPr="00834834">
              <w:t>Par dérogation à l</w:t>
            </w:r>
            <w:r w:rsidR="00D0034C" w:rsidRPr="00834834">
              <w:t>’</w:t>
            </w:r>
            <w:r w:rsidRPr="00834834">
              <w:t>article 5, peuvent être imputés en diminution des dépenses les remboursements effectués par des tiers lorsque l</w:t>
            </w:r>
            <w:r w:rsidR="00D0034C" w:rsidRPr="00834834">
              <w:t>’</w:t>
            </w:r>
            <w:r w:rsidRPr="00834834">
              <w:t>École a effectué un paiement dont elle est juridiquement débitrice à l</w:t>
            </w:r>
            <w:r w:rsidR="00D0034C" w:rsidRPr="00834834">
              <w:t>’</w:t>
            </w:r>
            <w:r w:rsidRPr="00834834">
              <w:t>égard des créanciers, mais dont tout ou partie du montant a été payé aux lieu et place de ces tiers.</w:t>
            </w:r>
          </w:p>
          <w:p w14:paraId="52717095" w14:textId="0115E0BD" w:rsidR="004A2404" w:rsidRPr="00834834" w:rsidRDefault="004A2404" w:rsidP="00ED4F09">
            <w:pPr>
              <w:pStyle w:val="ListParagraph"/>
              <w:numPr>
                <w:ilvl w:val="0"/>
                <w:numId w:val="12"/>
              </w:numPr>
            </w:pPr>
            <w:r w:rsidRPr="00834834">
              <w:t>Par dérogation à l</w:t>
            </w:r>
            <w:r w:rsidR="00D0034C" w:rsidRPr="00834834">
              <w:t>’</w:t>
            </w:r>
            <w:r w:rsidRPr="00834834">
              <w:t>article 5, peuvent être compensées les différences de change enregistrées au cours de l</w:t>
            </w:r>
            <w:r w:rsidR="00D0034C" w:rsidRPr="00834834">
              <w:t>’</w:t>
            </w:r>
            <w:r w:rsidRPr="00834834">
              <w:t>exécution budgétaire.</w:t>
            </w:r>
          </w:p>
          <w:p w14:paraId="64F8D9FF" w14:textId="77C686E9" w:rsidR="004A2404" w:rsidRDefault="004A2404" w:rsidP="005F3EA6">
            <w:pPr>
              <w:pStyle w:val="ListParagraph"/>
              <w:ind w:left="1161"/>
            </w:pPr>
            <w:r w:rsidRPr="00834834">
              <w:t>Le résultat final, positif ou négatif, est comptabilisé dans le solde de l</w:t>
            </w:r>
            <w:r w:rsidR="00D0034C" w:rsidRPr="00834834">
              <w:t>’</w:t>
            </w:r>
            <w:r w:rsidRPr="00834834">
              <w:t>exercice.</w:t>
            </w:r>
          </w:p>
          <w:p w14:paraId="1622B78E" w14:textId="25974D45" w:rsidR="0039221D" w:rsidRDefault="0039221D" w:rsidP="005F3EA6">
            <w:pPr>
              <w:pStyle w:val="Subtitle"/>
              <w:rPr>
                <w:lang w:val="fr-BE"/>
              </w:rPr>
            </w:pPr>
          </w:p>
          <w:p w14:paraId="387C1779" w14:textId="0B9D5AC5" w:rsidR="00586575" w:rsidRDefault="00586575" w:rsidP="00586575">
            <w:pPr>
              <w:rPr>
                <w:lang w:val="fr-BE"/>
              </w:rPr>
            </w:pPr>
          </w:p>
          <w:p w14:paraId="2EAFFAEE" w14:textId="77777777" w:rsidR="00586575" w:rsidRPr="00586575" w:rsidRDefault="00586575" w:rsidP="00586575">
            <w:pPr>
              <w:rPr>
                <w:lang w:val="fr-BE"/>
              </w:rPr>
            </w:pPr>
          </w:p>
          <w:p w14:paraId="39CFEB9F" w14:textId="512867CB" w:rsidR="00A13CDD" w:rsidRPr="00834834" w:rsidRDefault="004A2404" w:rsidP="005F3EA6">
            <w:pPr>
              <w:pStyle w:val="Subtitle"/>
              <w:rPr>
                <w:bCs/>
                <w:lang w:val="fr-BE"/>
              </w:rPr>
            </w:pPr>
            <w:r w:rsidRPr="00834834">
              <w:rPr>
                <w:lang w:val="fr-BE"/>
              </w:rPr>
              <w:t>Article</w:t>
            </w:r>
            <w:r w:rsidR="00D0034C" w:rsidRPr="00834834">
              <w:rPr>
                <w:lang w:val="fr-BE"/>
              </w:rPr>
              <w:t> </w:t>
            </w:r>
            <w:r w:rsidRPr="00834834">
              <w:rPr>
                <w:lang w:val="fr-BE"/>
              </w:rPr>
              <w:t>9</w:t>
            </w:r>
          </w:p>
          <w:p w14:paraId="788F0062" w14:textId="77777777" w:rsidR="001303C6" w:rsidRPr="00834834" w:rsidRDefault="001303C6" w:rsidP="005F3EA6">
            <w:pPr>
              <w:pStyle w:val="Subtitle"/>
              <w:rPr>
                <w:bCs/>
                <w:lang w:val="fr-BE"/>
              </w:rPr>
            </w:pPr>
            <w:r w:rsidRPr="00834834">
              <w:rPr>
                <w:lang w:val="fr-BE"/>
              </w:rPr>
              <w:t>Principe de spécialité</w:t>
            </w:r>
          </w:p>
          <w:p w14:paraId="68449905" w14:textId="487DE7C9" w:rsidR="00D153D5" w:rsidRPr="00834834" w:rsidRDefault="004A2404" w:rsidP="005F3EA6">
            <w:pPr>
              <w:rPr>
                <w:lang w:val="fr-BE"/>
              </w:rPr>
            </w:pPr>
            <w:r w:rsidRPr="00834834">
              <w:rPr>
                <w:lang w:val="fr-BE"/>
              </w:rPr>
              <w:t>Les crédits sont spécialisés pour les Écoles ou pour le Bureau du Secrétaire général, par section, catégorie, chapitre, article et poste.</w:t>
            </w:r>
          </w:p>
          <w:p w14:paraId="4C83B7AF" w14:textId="2FA5D845" w:rsidR="004A2404" w:rsidRPr="00834834" w:rsidRDefault="004A2404" w:rsidP="005F3EA6">
            <w:pPr>
              <w:pStyle w:val="Subtitle"/>
              <w:rPr>
                <w:bCs/>
                <w:strike/>
                <w:lang w:val="fr-BE"/>
              </w:rPr>
            </w:pPr>
            <w:r w:rsidRPr="00834834">
              <w:rPr>
                <w:lang w:val="fr-BE"/>
              </w:rPr>
              <w:t>Article</w:t>
            </w:r>
            <w:r w:rsidR="00D0034C" w:rsidRPr="00834834">
              <w:rPr>
                <w:lang w:val="fr-BE"/>
              </w:rPr>
              <w:t> </w:t>
            </w:r>
            <w:r w:rsidRPr="00834834">
              <w:rPr>
                <w:lang w:val="fr-BE"/>
              </w:rPr>
              <w:t>10</w:t>
            </w:r>
          </w:p>
          <w:p w14:paraId="742A996D" w14:textId="77777777" w:rsidR="004A2404" w:rsidRPr="00834834" w:rsidRDefault="004A2404" w:rsidP="005F3EA6">
            <w:pPr>
              <w:pStyle w:val="Subtitle"/>
              <w:rPr>
                <w:bCs/>
                <w:lang w:val="fr-BE"/>
              </w:rPr>
            </w:pPr>
            <w:r w:rsidRPr="00834834">
              <w:rPr>
                <w:lang w:val="fr-BE"/>
              </w:rPr>
              <w:t>Virements</w:t>
            </w:r>
          </w:p>
          <w:p w14:paraId="4BC44B49" w14:textId="55B83539" w:rsidR="00566D82" w:rsidRPr="005F3EA6" w:rsidRDefault="004A2404" w:rsidP="00ED4F09">
            <w:pPr>
              <w:pStyle w:val="ListParagraph"/>
              <w:numPr>
                <w:ilvl w:val="0"/>
                <w:numId w:val="13"/>
              </w:numPr>
            </w:pPr>
            <w:r w:rsidRPr="005F3EA6">
              <w:t>Sous réserve du paragraphe 2, les ordonnateurs peuvent introduire des virements de poste à poste, d’article à article et de chapitre à chapitre à l’intérieur de chaque section du budget. Le Conseil d’administration de chaque École est informé des virements ainsi effectués lors de la réunion suivante.</w:t>
            </w:r>
          </w:p>
          <w:p w14:paraId="4BA1D53B" w14:textId="77777777" w:rsidR="00566D82" w:rsidRPr="005F3EA6" w:rsidRDefault="004A2404" w:rsidP="00ED4F09">
            <w:pPr>
              <w:pStyle w:val="ListParagraph"/>
              <w:numPr>
                <w:ilvl w:val="0"/>
                <w:numId w:val="13"/>
              </w:numPr>
            </w:pPr>
            <w:r w:rsidRPr="005F3EA6">
              <w:t>Les virements à partir de postes budgétaires portant sur la rémunération du personnel vers des postes portant sur d’autres types de dépenses sont soumis à l’accord préalable du Conseil d’administration quand il s’agit de la section budgétaire d’une École, et à l’accord préalable du Secrétaire général quand il s’agit de son Bureau. Ces virements sont également soumis à l’accord préalable du Comité budgétaire.</w:t>
            </w:r>
          </w:p>
          <w:p w14:paraId="76A9B0CD" w14:textId="77777777" w:rsidR="00566D82" w:rsidRPr="005F3EA6" w:rsidRDefault="009C0E5D" w:rsidP="00ED4F09">
            <w:pPr>
              <w:pStyle w:val="ListParagraph"/>
              <w:numPr>
                <w:ilvl w:val="0"/>
                <w:numId w:val="13"/>
              </w:numPr>
            </w:pPr>
            <w:r w:rsidRPr="005F3EA6">
              <w:rPr>
                <w:bCs/>
              </w:rPr>
              <w:t>Sans préjudice du paragraphe 2, l</w:t>
            </w:r>
            <w:r w:rsidR="00D0034C" w:rsidRPr="005F3EA6">
              <w:rPr>
                <w:bCs/>
              </w:rPr>
              <w:t>’</w:t>
            </w:r>
            <w:r w:rsidRPr="005F3EA6">
              <w:rPr>
                <w:bCs/>
              </w:rPr>
              <w:t>ordonnateur des Écoles européennes peut effectuer des virements d</w:t>
            </w:r>
            <w:r w:rsidR="00D0034C" w:rsidRPr="005F3EA6">
              <w:rPr>
                <w:bCs/>
              </w:rPr>
              <w:t>’</w:t>
            </w:r>
            <w:r w:rsidRPr="005F3EA6">
              <w:rPr>
                <w:bCs/>
              </w:rPr>
              <w:t>une section du budget à une autre. Le Comité budgétaire est informé des virements ainsi effectués lors de sa réunion suivante</w:t>
            </w:r>
            <w:r w:rsidRPr="005F3EA6">
              <w:t>. En cas de désaccord entre l</w:t>
            </w:r>
            <w:r w:rsidR="00D0034C" w:rsidRPr="005F3EA6">
              <w:t>’</w:t>
            </w:r>
            <w:r w:rsidRPr="005F3EA6">
              <w:t>ordonnateur des Écoles européennes et l</w:t>
            </w:r>
            <w:r w:rsidR="00D0034C" w:rsidRPr="005F3EA6">
              <w:t>’</w:t>
            </w:r>
            <w:r w:rsidRPr="005F3EA6">
              <w:t>ordonnateur délégué au sujet de ces virements, l</w:t>
            </w:r>
            <w:r w:rsidR="00D0034C" w:rsidRPr="005F3EA6">
              <w:t>’</w:t>
            </w:r>
            <w:r w:rsidRPr="005F3EA6">
              <w:t>accord du Conseil supérieur est requis.</w:t>
            </w:r>
          </w:p>
          <w:p w14:paraId="53A2A1FA" w14:textId="77777777" w:rsidR="00566D82" w:rsidRPr="005F3EA6" w:rsidRDefault="004A2404" w:rsidP="00ED4F09">
            <w:pPr>
              <w:pStyle w:val="ListParagraph"/>
              <w:numPr>
                <w:ilvl w:val="0"/>
                <w:numId w:val="13"/>
              </w:numPr>
            </w:pPr>
            <w:r w:rsidRPr="005F3EA6">
              <w:t>Les crédits correspondant à des recettes affectées telles que visées à l</w:t>
            </w:r>
            <w:r w:rsidR="00D0034C" w:rsidRPr="005F3EA6">
              <w:t>’</w:t>
            </w:r>
            <w:r w:rsidRPr="005F3EA6">
              <w:t>article 6 ne peuvent faire l</w:t>
            </w:r>
            <w:r w:rsidR="00D0034C" w:rsidRPr="005F3EA6">
              <w:t>’</w:t>
            </w:r>
            <w:r w:rsidRPr="005F3EA6">
              <w:t>objet de virement que pour autant que celles-ci conservent leur affectation.</w:t>
            </w:r>
          </w:p>
          <w:p w14:paraId="3622594B" w14:textId="57D73937" w:rsidR="00D153D5" w:rsidRPr="005F3EA6" w:rsidRDefault="004A2404" w:rsidP="00ED4F09">
            <w:pPr>
              <w:pStyle w:val="ListParagraph"/>
              <w:numPr>
                <w:ilvl w:val="0"/>
                <w:numId w:val="13"/>
              </w:numPr>
            </w:pPr>
            <w:r w:rsidRPr="005F3EA6">
              <w:t>Chaque proposition de virement doit être dûment motivée. L</w:t>
            </w:r>
            <w:r w:rsidR="00D0034C" w:rsidRPr="005F3EA6">
              <w:t>’</w:t>
            </w:r>
            <w:r w:rsidRPr="005F3EA6">
              <w:t>ordonnateur responsable atteste la disponibilité des crédits et la conformité du virement avec les principes fondamentaux de l’exécution du budget.</w:t>
            </w:r>
          </w:p>
          <w:p w14:paraId="404E3EAC" w14:textId="0C119C60" w:rsidR="004A2404" w:rsidRPr="007673A5" w:rsidRDefault="004A2404" w:rsidP="00D4573A">
            <w:pPr>
              <w:pStyle w:val="Subtitle"/>
              <w:rPr>
                <w:rStyle w:val="Corpsdutexte33"/>
                <w:rFonts w:cstheme="minorBidi"/>
                <w:sz w:val="22"/>
                <w:szCs w:val="22"/>
                <w:shd w:val="clear" w:color="auto" w:fill="auto"/>
                <w:lang w:val="fr-BE"/>
              </w:rPr>
            </w:pPr>
            <w:r w:rsidRPr="007673A5">
              <w:rPr>
                <w:rStyle w:val="Corpsdutexte33"/>
                <w:rFonts w:cstheme="minorBidi"/>
                <w:sz w:val="22"/>
                <w:szCs w:val="22"/>
                <w:shd w:val="clear" w:color="auto" w:fill="auto"/>
                <w:lang w:val="fr-BE"/>
              </w:rPr>
              <w:t>Article</w:t>
            </w:r>
            <w:r w:rsidR="00D0034C" w:rsidRPr="007673A5">
              <w:rPr>
                <w:rStyle w:val="Corpsdutexte33"/>
                <w:rFonts w:cstheme="minorBidi"/>
                <w:sz w:val="22"/>
                <w:szCs w:val="22"/>
                <w:shd w:val="clear" w:color="auto" w:fill="auto"/>
                <w:lang w:val="fr-BE"/>
              </w:rPr>
              <w:t> </w:t>
            </w:r>
            <w:r w:rsidRPr="007673A5">
              <w:rPr>
                <w:rStyle w:val="Corpsdutexte33"/>
                <w:rFonts w:cstheme="minorBidi"/>
                <w:sz w:val="22"/>
                <w:szCs w:val="22"/>
                <w:shd w:val="clear" w:color="auto" w:fill="auto"/>
                <w:lang w:val="fr-BE"/>
              </w:rPr>
              <w:t>1</w:t>
            </w:r>
            <w:r w:rsidR="0039221D">
              <w:rPr>
                <w:rStyle w:val="Corpsdutexte33"/>
                <w:rFonts w:cstheme="minorBidi"/>
                <w:sz w:val="22"/>
                <w:szCs w:val="22"/>
                <w:shd w:val="clear" w:color="auto" w:fill="auto"/>
                <w:lang w:val="fr-BE"/>
              </w:rPr>
              <w:t>1</w:t>
            </w:r>
          </w:p>
          <w:p w14:paraId="6C47CEAA" w14:textId="3DB4D8F5" w:rsidR="00790817" w:rsidRPr="00834834" w:rsidRDefault="004A2404" w:rsidP="00FD71F4">
            <w:pPr>
              <w:pStyle w:val="Subtitle"/>
              <w:rPr>
                <w:rStyle w:val="Corpsdutexte33"/>
                <w:rFonts w:ascii="Times New Roman" w:hAnsi="Times New Roman" w:cs="Times New Roman"/>
                <w:sz w:val="24"/>
                <w:shd w:val="clear" w:color="auto" w:fill="auto"/>
                <w:lang w:val="fr-BE"/>
              </w:rPr>
            </w:pPr>
            <w:r w:rsidRPr="00834834">
              <w:rPr>
                <w:lang w:val="fr-BE"/>
              </w:rPr>
              <w:t>Principes d</w:t>
            </w:r>
            <w:r w:rsidR="00D0034C" w:rsidRPr="00834834">
              <w:rPr>
                <w:lang w:val="fr-BE"/>
              </w:rPr>
              <w:t>’</w:t>
            </w:r>
            <w:r w:rsidRPr="00834834">
              <w:rPr>
                <w:lang w:val="fr-BE"/>
              </w:rPr>
              <w:t>unité et de vérité budgétaire</w:t>
            </w:r>
          </w:p>
          <w:p w14:paraId="37863E58" w14:textId="77777777" w:rsidR="00566D82" w:rsidRPr="005E627D" w:rsidRDefault="004A2404" w:rsidP="00ED4F09">
            <w:pPr>
              <w:pStyle w:val="ListParagraph"/>
              <w:numPr>
                <w:ilvl w:val="0"/>
                <w:numId w:val="130"/>
              </w:numPr>
              <w:rPr>
                <w:rStyle w:val="Corpsdutexte"/>
                <w:rFonts w:cs="Times New Roman"/>
                <w:sz w:val="22"/>
                <w:szCs w:val="20"/>
                <w:shd w:val="clear" w:color="auto" w:fill="auto"/>
              </w:rPr>
            </w:pPr>
            <w:r w:rsidRPr="005E627D">
              <w:rPr>
                <w:rStyle w:val="Corpsdutexte"/>
                <w:rFonts w:cs="Times New Roman"/>
                <w:sz w:val="22"/>
                <w:szCs w:val="20"/>
                <w:shd w:val="clear" w:color="auto" w:fill="auto"/>
              </w:rPr>
              <w:t>Aucune recette ni aucune dépense ne peut être effectuée autrement que par imputation à un article du budget sauf exceptions prévues à l</w:t>
            </w:r>
            <w:r w:rsidR="00D0034C" w:rsidRPr="005E627D">
              <w:rPr>
                <w:rStyle w:val="Corpsdutexte"/>
                <w:rFonts w:cs="Times New Roman"/>
                <w:sz w:val="22"/>
                <w:szCs w:val="20"/>
                <w:shd w:val="clear" w:color="auto" w:fill="auto"/>
              </w:rPr>
              <w:t>’</w:t>
            </w:r>
            <w:r w:rsidRPr="005E627D">
              <w:rPr>
                <w:rStyle w:val="Corpsdutexte"/>
                <w:rFonts w:cs="Times New Roman"/>
                <w:sz w:val="22"/>
                <w:szCs w:val="20"/>
                <w:shd w:val="clear" w:color="auto" w:fill="auto"/>
              </w:rPr>
              <w:t>article</w:t>
            </w:r>
            <w:r w:rsidR="00D0034C" w:rsidRPr="005E627D">
              <w:rPr>
                <w:rStyle w:val="Corpsdutexte"/>
                <w:rFonts w:cs="Times New Roman"/>
                <w:sz w:val="22"/>
                <w:szCs w:val="20"/>
                <w:shd w:val="clear" w:color="auto" w:fill="auto"/>
              </w:rPr>
              <w:t> </w:t>
            </w:r>
            <w:r w:rsidRPr="005E627D">
              <w:rPr>
                <w:rStyle w:val="Corpsdutexte"/>
                <w:rFonts w:cs="Times New Roman"/>
                <w:sz w:val="22"/>
                <w:szCs w:val="20"/>
                <w:shd w:val="clear" w:color="auto" w:fill="auto"/>
              </w:rPr>
              <w:t>19, qui restent toutefois soumises aux dispositions du Titre V.</w:t>
            </w:r>
          </w:p>
          <w:p w14:paraId="29092470" w14:textId="77777777" w:rsidR="00566D82" w:rsidRPr="005E627D" w:rsidRDefault="004A2404" w:rsidP="00ED4F09">
            <w:pPr>
              <w:pStyle w:val="ListParagraph"/>
              <w:numPr>
                <w:ilvl w:val="0"/>
                <w:numId w:val="130"/>
              </w:numPr>
              <w:rPr>
                <w:rStyle w:val="Corpsdutexte"/>
                <w:rFonts w:cs="Times New Roman"/>
                <w:sz w:val="22"/>
                <w:szCs w:val="20"/>
                <w:shd w:val="clear" w:color="auto" w:fill="auto"/>
              </w:rPr>
            </w:pPr>
            <w:r w:rsidRPr="005E627D">
              <w:rPr>
                <w:rStyle w:val="Corpsdutexte"/>
                <w:rFonts w:cs="Times New Roman"/>
                <w:sz w:val="22"/>
                <w:szCs w:val="20"/>
                <w:shd w:val="clear" w:color="auto" w:fill="auto"/>
              </w:rPr>
              <w:t>Aucune dépense ne peut être engagée ni ordonnancée au-delà des crédits autorisés.</w:t>
            </w:r>
          </w:p>
          <w:p w14:paraId="5A5BA437" w14:textId="1FE18071" w:rsidR="004A2404" w:rsidRPr="005E627D" w:rsidRDefault="004A2404" w:rsidP="00ED4F09">
            <w:pPr>
              <w:pStyle w:val="ListParagraph"/>
              <w:numPr>
                <w:ilvl w:val="0"/>
                <w:numId w:val="130"/>
              </w:numPr>
            </w:pPr>
            <w:r w:rsidRPr="005E627D">
              <w:t>Un crédit ne peut être inscrit au budget que s</w:t>
            </w:r>
            <w:r w:rsidR="00D0034C" w:rsidRPr="005E627D">
              <w:t>’</w:t>
            </w:r>
            <w:r w:rsidRPr="005E627D">
              <w:t>il correspond à une dépense estimée nécessaire.</w:t>
            </w:r>
          </w:p>
          <w:p w14:paraId="08B7BC28" w14:textId="1AA8C0B4" w:rsidR="00BD7C65" w:rsidRPr="00834834" w:rsidRDefault="004A2404" w:rsidP="00FD71F4">
            <w:pPr>
              <w:pStyle w:val="Subtitle"/>
              <w:rPr>
                <w:strike/>
                <w:lang w:val="fr-BE"/>
              </w:rPr>
            </w:pPr>
            <w:r w:rsidRPr="00834834">
              <w:rPr>
                <w:lang w:val="fr-BE"/>
              </w:rPr>
              <w:t>Article</w:t>
            </w:r>
            <w:r w:rsidR="00D0034C" w:rsidRPr="00834834">
              <w:rPr>
                <w:lang w:val="fr-BE"/>
              </w:rPr>
              <w:t> </w:t>
            </w:r>
            <w:r w:rsidRPr="00834834">
              <w:rPr>
                <w:lang w:val="fr-BE"/>
              </w:rPr>
              <w:t>12</w:t>
            </w:r>
          </w:p>
          <w:p w14:paraId="0BBA0CC5" w14:textId="40754DF9" w:rsidR="004A2404" w:rsidRPr="00834834" w:rsidRDefault="00693276" w:rsidP="00FD71F4">
            <w:pPr>
              <w:pStyle w:val="Subtitle"/>
              <w:rPr>
                <w:lang w:val="fr-BE"/>
              </w:rPr>
            </w:pPr>
            <w:r w:rsidRPr="00834834">
              <w:rPr>
                <w:lang w:val="fr-BE"/>
              </w:rPr>
              <w:t>Principe d</w:t>
            </w:r>
            <w:r w:rsidR="00D0034C" w:rsidRPr="00834834">
              <w:rPr>
                <w:lang w:val="fr-BE"/>
              </w:rPr>
              <w:t>’</w:t>
            </w:r>
            <w:r w:rsidRPr="00834834">
              <w:rPr>
                <w:lang w:val="fr-BE"/>
              </w:rPr>
              <w:t>annualité. Définition et comptabilisation budgétaire des recettes et des crédits</w:t>
            </w:r>
          </w:p>
          <w:p w14:paraId="7B88AAEB" w14:textId="284E443A" w:rsidR="00A13CDD" w:rsidRPr="00834834" w:rsidRDefault="004A2404" w:rsidP="00ED4F09">
            <w:pPr>
              <w:pStyle w:val="ListParagraph"/>
              <w:numPr>
                <w:ilvl w:val="0"/>
                <w:numId w:val="14"/>
              </w:numPr>
            </w:pPr>
            <w:r w:rsidRPr="00834834">
              <w:t>Les crédits inscrits au budget sont autorisés pour la durée d</w:t>
            </w:r>
            <w:r w:rsidR="00D0034C" w:rsidRPr="00834834">
              <w:t>’</w:t>
            </w:r>
            <w:r w:rsidRPr="00834834">
              <w:t>un exercice budgétaire.</w:t>
            </w:r>
          </w:p>
          <w:p w14:paraId="4511F2E8" w14:textId="780ECB61" w:rsidR="004A2404" w:rsidRPr="00834834" w:rsidRDefault="004A2404" w:rsidP="00ED4F09">
            <w:pPr>
              <w:pStyle w:val="ListParagraph"/>
              <w:numPr>
                <w:ilvl w:val="0"/>
                <w:numId w:val="14"/>
              </w:numPr>
            </w:pPr>
            <w:r w:rsidRPr="00834834">
              <w:t>L</w:t>
            </w:r>
            <w:r w:rsidR="00D0034C" w:rsidRPr="00834834">
              <w:t>’</w:t>
            </w:r>
            <w:r w:rsidRPr="00834834">
              <w:t>exercice budgétaire commence le 1</w:t>
            </w:r>
            <w:r w:rsidRPr="00834834">
              <w:rPr>
                <w:vertAlign w:val="superscript"/>
              </w:rPr>
              <w:t>er</w:t>
            </w:r>
            <w:r w:rsidRPr="00834834">
              <w:t> janvier et s</w:t>
            </w:r>
            <w:r w:rsidR="00D0034C" w:rsidRPr="00834834">
              <w:t>’</w:t>
            </w:r>
            <w:r w:rsidRPr="00834834">
              <w:t>achève le 31 décembre.</w:t>
            </w:r>
          </w:p>
          <w:p w14:paraId="5CA079BC" w14:textId="7188AB16" w:rsidR="004A2404" w:rsidRPr="00834834" w:rsidRDefault="004A2404" w:rsidP="00ED4F09">
            <w:pPr>
              <w:pStyle w:val="ListParagraph"/>
              <w:numPr>
                <w:ilvl w:val="0"/>
                <w:numId w:val="14"/>
              </w:numPr>
            </w:pPr>
            <w:r w:rsidRPr="00834834">
              <w:lastRenderedPageBreak/>
              <w:t>Les recettes d</w:t>
            </w:r>
            <w:r w:rsidR="00D0034C" w:rsidRPr="00834834">
              <w:t>’</w:t>
            </w:r>
            <w:r w:rsidRPr="00834834">
              <w:t>un exercice sont prises en compte au titre de cet exercice sur la base des montants perçus au cours de cet exercice.</w:t>
            </w:r>
          </w:p>
          <w:p w14:paraId="136AF7C4" w14:textId="186ED5FF" w:rsidR="004A2404" w:rsidRPr="00834834" w:rsidRDefault="004A2404" w:rsidP="00ED4F09">
            <w:pPr>
              <w:pStyle w:val="ListParagraph"/>
              <w:numPr>
                <w:ilvl w:val="0"/>
                <w:numId w:val="14"/>
              </w:numPr>
            </w:pPr>
            <w:r w:rsidRPr="00834834">
              <w:t>Les crédits ordonnancés pour un exercice ne peuvent être utilisés que pour couvrir les dépenses régulièrement engagées et payées au titre de l</w:t>
            </w:r>
            <w:r w:rsidR="00D0034C" w:rsidRPr="00834834">
              <w:t>’</w:t>
            </w:r>
            <w:r w:rsidRPr="00834834">
              <w:t>exercice pour lequel ils ont été accordés, sauf dérogations prévues à l</w:t>
            </w:r>
            <w:r w:rsidR="00D0034C" w:rsidRPr="00834834">
              <w:t>’</w:t>
            </w:r>
            <w:r w:rsidRPr="00834834">
              <w:t>article</w:t>
            </w:r>
            <w:r w:rsidR="00D0034C" w:rsidRPr="00834834">
              <w:t> </w:t>
            </w:r>
            <w:r w:rsidRPr="00834834">
              <w:t>14, et pour couvrir les montants dus au titre d’engagements relatifs à des exercices antérieurs et pour lesquels aucun crédit n</w:t>
            </w:r>
            <w:r w:rsidR="00D0034C" w:rsidRPr="00834834">
              <w:t>’</w:t>
            </w:r>
            <w:r w:rsidRPr="00834834">
              <w:t>avait été reporté.</w:t>
            </w:r>
          </w:p>
          <w:p w14:paraId="09AFE536" w14:textId="38520824" w:rsidR="004A2404" w:rsidRPr="00834834" w:rsidRDefault="004A2404" w:rsidP="00ED4F09">
            <w:pPr>
              <w:pStyle w:val="ListParagraph"/>
              <w:numPr>
                <w:ilvl w:val="0"/>
                <w:numId w:val="14"/>
              </w:numPr>
            </w:pPr>
            <w:r w:rsidRPr="00834834">
              <w:t>Les engagements sont comptabilisés sur la base des engagements juridiques contractés jusqu</w:t>
            </w:r>
            <w:r w:rsidR="00D0034C" w:rsidRPr="00834834">
              <w:t>’</w:t>
            </w:r>
            <w:r w:rsidRPr="00834834">
              <w:t>au 31 décembre.</w:t>
            </w:r>
          </w:p>
          <w:p w14:paraId="3BF8F546" w14:textId="00F4E8C0" w:rsidR="00472E9F" w:rsidRPr="00834834" w:rsidRDefault="004A2404" w:rsidP="00ED4F09">
            <w:pPr>
              <w:pStyle w:val="ListParagraph"/>
              <w:numPr>
                <w:ilvl w:val="0"/>
                <w:numId w:val="14"/>
              </w:numPr>
            </w:pPr>
            <w:r w:rsidRPr="00834834">
              <w:t>Les paiements d</w:t>
            </w:r>
            <w:r w:rsidR="00D0034C" w:rsidRPr="00834834">
              <w:t>’</w:t>
            </w:r>
            <w:r w:rsidRPr="00834834">
              <w:t xml:space="preserve">un exercice sont pris en compte au titre de cet exercice sur la base des paiements exécutés par le comptable au plus tard le 31 décembre de l’exercice. </w:t>
            </w:r>
          </w:p>
          <w:p w14:paraId="58E66228" w14:textId="42D992CF" w:rsidR="00A13CDD" w:rsidRPr="00834834" w:rsidRDefault="004A2404" w:rsidP="00ED4F09">
            <w:pPr>
              <w:pStyle w:val="ListParagraph"/>
              <w:numPr>
                <w:ilvl w:val="0"/>
                <w:numId w:val="14"/>
              </w:numPr>
              <w:rPr>
                <w:u w:val="single"/>
              </w:rPr>
            </w:pPr>
            <w:r w:rsidRPr="00834834">
              <w:t>Par dérogation au paragraphe 4, les dépenses résultant de contrats qui sont conclus conformément aux usages locaux pour des périodes dépassant la durée de l</w:t>
            </w:r>
            <w:r w:rsidR="00D0034C" w:rsidRPr="00834834">
              <w:t>’</w:t>
            </w:r>
            <w:r w:rsidRPr="00834834">
              <w:t>exercice sont imputées au budget de l</w:t>
            </w:r>
            <w:r w:rsidR="00D0034C" w:rsidRPr="00834834">
              <w:t>’</w:t>
            </w:r>
            <w:r w:rsidRPr="00834834">
              <w:t>exercice au cours duquel elles sont effectuées.</w:t>
            </w:r>
            <w:r w:rsidRPr="00834834">
              <w:br w:type="page"/>
            </w:r>
          </w:p>
          <w:p w14:paraId="19508FAB" w14:textId="00C17C59" w:rsidR="004A2404" w:rsidRPr="00834834" w:rsidRDefault="004A2404" w:rsidP="00FD71F4">
            <w:pPr>
              <w:pStyle w:val="Subtitle"/>
              <w:rPr>
                <w:lang w:val="fr-BE"/>
              </w:rPr>
            </w:pPr>
            <w:r w:rsidRPr="00834834">
              <w:rPr>
                <w:lang w:val="fr-BE"/>
              </w:rPr>
              <w:t>Article</w:t>
            </w:r>
            <w:r w:rsidR="00D0034C" w:rsidRPr="00834834">
              <w:rPr>
                <w:lang w:val="fr-BE"/>
              </w:rPr>
              <w:t> </w:t>
            </w:r>
            <w:r w:rsidRPr="00834834">
              <w:rPr>
                <w:lang w:val="fr-BE"/>
              </w:rPr>
              <w:t>13</w:t>
            </w:r>
          </w:p>
          <w:p w14:paraId="42A4659E" w14:textId="19CC1D01" w:rsidR="004A2404" w:rsidRPr="00834834" w:rsidRDefault="004A2404" w:rsidP="00FD71F4">
            <w:pPr>
              <w:pStyle w:val="Subtitle"/>
              <w:rPr>
                <w:lang w:val="fr-BE"/>
              </w:rPr>
            </w:pPr>
            <w:r w:rsidRPr="00834834">
              <w:rPr>
                <w:lang w:val="fr-BE"/>
              </w:rPr>
              <w:t>Engagement des crédits</w:t>
            </w:r>
          </w:p>
          <w:p w14:paraId="37DB37B7" w14:textId="133B1A45" w:rsidR="004A2404" w:rsidRPr="00834834" w:rsidRDefault="004A2404" w:rsidP="00D4573A">
            <w:pPr>
              <w:rPr>
                <w:lang w:val="fr-BE"/>
              </w:rPr>
            </w:pPr>
            <w:r w:rsidRPr="00834834">
              <w:rPr>
                <w:lang w:val="fr-BE"/>
              </w:rPr>
              <w:t>Les crédits figurant au budget des Écoles européennes peuvent être engagés avec effet au 1</w:t>
            </w:r>
            <w:r w:rsidRPr="00834834">
              <w:rPr>
                <w:vertAlign w:val="superscript"/>
                <w:lang w:val="fr-BE"/>
              </w:rPr>
              <w:t>er</w:t>
            </w:r>
            <w:r w:rsidRPr="00834834">
              <w:rPr>
                <w:lang w:val="fr-BE"/>
              </w:rPr>
              <w:t> janvier, dès l</w:t>
            </w:r>
            <w:r w:rsidR="00D0034C" w:rsidRPr="00834834">
              <w:rPr>
                <w:lang w:val="fr-BE"/>
              </w:rPr>
              <w:t>’</w:t>
            </w:r>
            <w:r w:rsidRPr="00834834">
              <w:rPr>
                <w:lang w:val="fr-BE"/>
              </w:rPr>
              <w:t>arrêt définitif du budget des Écoles européennes.</w:t>
            </w:r>
          </w:p>
          <w:p w14:paraId="6FF52EBC" w14:textId="56F58B36" w:rsidR="004A2404" w:rsidRPr="00834834" w:rsidRDefault="004A2404" w:rsidP="00D4573A">
            <w:pPr>
              <w:pStyle w:val="Subtitle"/>
              <w:rPr>
                <w:lang w:val="fr-BE"/>
              </w:rPr>
            </w:pPr>
            <w:r w:rsidRPr="00834834">
              <w:rPr>
                <w:lang w:val="fr-BE"/>
              </w:rPr>
              <w:t>Article</w:t>
            </w:r>
            <w:r w:rsidR="00D0034C" w:rsidRPr="00834834">
              <w:rPr>
                <w:lang w:val="fr-BE"/>
              </w:rPr>
              <w:t> </w:t>
            </w:r>
            <w:r w:rsidRPr="00834834">
              <w:rPr>
                <w:lang w:val="fr-BE"/>
              </w:rPr>
              <w:t>14</w:t>
            </w:r>
          </w:p>
          <w:p w14:paraId="2C0ED889" w14:textId="77777777" w:rsidR="004A2404" w:rsidRPr="00834834" w:rsidRDefault="004A2404" w:rsidP="00D4573A">
            <w:pPr>
              <w:pStyle w:val="Subtitle"/>
              <w:rPr>
                <w:lang w:val="fr-BE"/>
              </w:rPr>
            </w:pPr>
            <w:r w:rsidRPr="00834834">
              <w:rPr>
                <w:lang w:val="fr-BE"/>
              </w:rPr>
              <w:t>Annulation et report de crédits</w:t>
            </w:r>
          </w:p>
          <w:p w14:paraId="5095CB85" w14:textId="6B85A07C" w:rsidR="004A2404" w:rsidRPr="00834834" w:rsidRDefault="004A2404" w:rsidP="00D4573A">
            <w:pPr>
              <w:rPr>
                <w:lang w:val="fr-BE"/>
              </w:rPr>
            </w:pPr>
            <w:r w:rsidRPr="00834834">
              <w:rPr>
                <w:lang w:val="fr-BE"/>
              </w:rPr>
              <w:t>L</w:t>
            </w:r>
            <w:r w:rsidR="00D0034C" w:rsidRPr="00834834">
              <w:rPr>
                <w:lang w:val="fr-BE"/>
              </w:rPr>
              <w:t>’</w:t>
            </w:r>
            <w:r w:rsidRPr="00834834">
              <w:rPr>
                <w:lang w:val="fr-BE"/>
              </w:rPr>
              <w:t>utilisation des crédits est soumise aux règles suivantes :</w:t>
            </w:r>
          </w:p>
          <w:p w14:paraId="1DAD9FA9" w14:textId="6603170F" w:rsidR="004A2404" w:rsidRPr="00834834" w:rsidRDefault="004A2404" w:rsidP="00ED4F09">
            <w:pPr>
              <w:pStyle w:val="ListParagraph"/>
              <w:numPr>
                <w:ilvl w:val="0"/>
                <w:numId w:val="15"/>
              </w:numPr>
            </w:pPr>
            <w:r w:rsidRPr="00834834">
              <w:t xml:space="preserve">Les crédits relatifs </w:t>
            </w:r>
            <w:r w:rsidRPr="00834834">
              <w:rPr>
                <w:bCs/>
              </w:rPr>
              <w:t>à la rémunération et aux</w:t>
            </w:r>
            <w:r w:rsidRPr="00834834">
              <w:t xml:space="preserve"> indemnités des personnels ne peuvent faire l</w:t>
            </w:r>
            <w:r w:rsidR="00D0034C" w:rsidRPr="00834834">
              <w:t>’</w:t>
            </w:r>
            <w:r w:rsidRPr="00834834">
              <w:t>objet d</w:t>
            </w:r>
            <w:r w:rsidR="00D0034C" w:rsidRPr="00834834">
              <w:t>’</w:t>
            </w:r>
            <w:r w:rsidRPr="00834834">
              <w:t>un report à l’exercice suivant.</w:t>
            </w:r>
          </w:p>
          <w:p w14:paraId="28D2D0EA" w14:textId="218B8699" w:rsidR="004A2404" w:rsidRPr="00834834" w:rsidRDefault="004A2404" w:rsidP="00ED4F09">
            <w:pPr>
              <w:pStyle w:val="ListParagraph"/>
              <w:numPr>
                <w:ilvl w:val="0"/>
                <w:numId w:val="15"/>
              </w:numPr>
            </w:pPr>
            <w:r w:rsidRPr="00834834">
              <w:t xml:space="preserve">Les crédits qui correspondent à des paiements restants dus </w:t>
            </w:r>
            <w:r w:rsidRPr="00834834">
              <w:rPr>
                <w:bCs/>
              </w:rPr>
              <w:t xml:space="preserve">au 31 décembre </w:t>
            </w:r>
            <w:r w:rsidRPr="00834834">
              <w:t>en vertu d</w:t>
            </w:r>
            <w:r w:rsidR="00D0034C" w:rsidRPr="00834834">
              <w:t>’</w:t>
            </w:r>
            <w:r w:rsidRPr="00834834">
              <w:t>engagements régulièrement contractés entre le 1</w:t>
            </w:r>
            <w:r w:rsidRPr="00834834">
              <w:rPr>
                <w:vertAlign w:val="superscript"/>
              </w:rPr>
              <w:t>er</w:t>
            </w:r>
            <w:r w:rsidRPr="00834834">
              <w:t> janvier et le 31 décembre font l</w:t>
            </w:r>
            <w:r w:rsidR="00D0034C" w:rsidRPr="00834834">
              <w:t>’</w:t>
            </w:r>
            <w:r w:rsidRPr="00834834">
              <w:t>objet d</w:t>
            </w:r>
            <w:r w:rsidR="00D0034C" w:rsidRPr="00834834">
              <w:t>’</w:t>
            </w:r>
            <w:r w:rsidRPr="00834834">
              <w:t>un report de droit, qui est limité au seul exercice suivant.</w:t>
            </w:r>
          </w:p>
          <w:p w14:paraId="6C009CB1" w14:textId="77777777" w:rsidR="00566D82" w:rsidRPr="00834834" w:rsidRDefault="004A2404" w:rsidP="00ED4F09">
            <w:pPr>
              <w:pStyle w:val="ListParagraph"/>
              <w:numPr>
                <w:ilvl w:val="0"/>
                <w:numId w:val="15"/>
              </w:numPr>
            </w:pPr>
            <w:r w:rsidRPr="00834834">
              <w:t>Les recettes non utilisées visées à l</w:t>
            </w:r>
            <w:r w:rsidR="00D0034C" w:rsidRPr="00834834">
              <w:t>’</w:t>
            </w:r>
            <w:r w:rsidRPr="00834834">
              <w:t xml:space="preserve">article 6 et disponibles </w:t>
            </w:r>
            <w:r w:rsidRPr="00834834">
              <w:rPr>
                <w:bCs/>
              </w:rPr>
              <w:t xml:space="preserve">au 31 décembre </w:t>
            </w:r>
            <w:r w:rsidRPr="00834834">
              <w:t>font l</w:t>
            </w:r>
            <w:r w:rsidR="00D0034C" w:rsidRPr="00834834">
              <w:t>’</w:t>
            </w:r>
            <w:r w:rsidRPr="00834834">
              <w:t>objet d</w:t>
            </w:r>
            <w:r w:rsidR="00D0034C" w:rsidRPr="00834834">
              <w:t>’</w:t>
            </w:r>
            <w:r w:rsidRPr="00834834">
              <w:t>un report de droit. La réutilisation de ces recettes affectées doit intervenir avant la fin de l</w:t>
            </w:r>
            <w:r w:rsidR="00D0034C" w:rsidRPr="00834834">
              <w:t>’</w:t>
            </w:r>
            <w:r w:rsidRPr="00834834">
              <w:t>exercice qui suit celui au cours duquel ces recettes ont été encaissées. Le système comptable prévoit des comptes d</w:t>
            </w:r>
            <w:r w:rsidR="00D0034C" w:rsidRPr="00834834">
              <w:t>’</w:t>
            </w:r>
            <w:r w:rsidRPr="00834834">
              <w:t>ordre permettant de suivre les opérations de remploi tant en recettes qu</w:t>
            </w:r>
            <w:r w:rsidR="00D0034C" w:rsidRPr="00834834">
              <w:t>’</w:t>
            </w:r>
            <w:r w:rsidRPr="00834834">
              <w:t>en dépenses.</w:t>
            </w:r>
          </w:p>
          <w:p w14:paraId="789A91AF" w14:textId="3D11B95B" w:rsidR="004A2404" w:rsidRPr="00834834" w:rsidRDefault="004A2404" w:rsidP="00ED4F09">
            <w:pPr>
              <w:pStyle w:val="ListParagraph"/>
              <w:numPr>
                <w:ilvl w:val="0"/>
                <w:numId w:val="15"/>
              </w:numPr>
            </w:pPr>
            <w:r w:rsidRPr="00834834">
              <w:t>À la fin de l</w:t>
            </w:r>
            <w:r w:rsidR="00D0034C" w:rsidRPr="00834834">
              <w:t>’</w:t>
            </w:r>
            <w:r w:rsidRPr="00834834">
              <w:t>exercice sont annulés :</w:t>
            </w:r>
          </w:p>
          <w:p w14:paraId="57FF2DBC" w14:textId="77777777" w:rsidR="00566D82" w:rsidRPr="00D4573A" w:rsidRDefault="004A2404" w:rsidP="00ED4F09">
            <w:pPr>
              <w:pStyle w:val="numbering2"/>
              <w:numPr>
                <w:ilvl w:val="0"/>
                <w:numId w:val="16"/>
              </w:numPr>
              <w:ind w:left="2153"/>
            </w:pPr>
            <w:proofErr w:type="gramStart"/>
            <w:r w:rsidRPr="00D4573A">
              <w:t>les</w:t>
            </w:r>
            <w:proofErr w:type="gramEnd"/>
            <w:r w:rsidRPr="00D4573A">
              <w:t xml:space="preserve"> crédits reportés de droit qui n</w:t>
            </w:r>
            <w:r w:rsidR="00D0034C" w:rsidRPr="00D4573A">
              <w:t>’</w:t>
            </w:r>
            <w:r w:rsidRPr="00D4573A">
              <w:t>ont pas fait l</w:t>
            </w:r>
            <w:r w:rsidR="00D0034C" w:rsidRPr="00D4573A">
              <w:t>’</w:t>
            </w:r>
            <w:r w:rsidRPr="00D4573A">
              <w:t>objet d</w:t>
            </w:r>
            <w:r w:rsidR="00D0034C" w:rsidRPr="00D4573A">
              <w:t>’</w:t>
            </w:r>
            <w:r w:rsidRPr="00D4573A">
              <w:t>un paiement ;</w:t>
            </w:r>
          </w:p>
          <w:p w14:paraId="4612EB98" w14:textId="681DBD97" w:rsidR="004A2404" w:rsidRPr="00834834" w:rsidRDefault="0047058B" w:rsidP="00ED4F09">
            <w:pPr>
              <w:pStyle w:val="numbering2"/>
              <w:numPr>
                <w:ilvl w:val="0"/>
                <w:numId w:val="16"/>
              </w:numPr>
              <w:ind w:left="2148"/>
            </w:pPr>
            <w:proofErr w:type="gramStart"/>
            <w:r w:rsidRPr="00834834">
              <w:t>les</w:t>
            </w:r>
            <w:proofErr w:type="gramEnd"/>
            <w:r w:rsidRPr="00834834">
              <w:t xml:space="preserve"> crédits </w:t>
            </w:r>
            <w:r w:rsidRPr="00834834">
              <w:rPr>
                <w:bCs/>
                <w:szCs w:val="24"/>
              </w:rPr>
              <w:t>destinés à</w:t>
            </w:r>
            <w:r w:rsidRPr="00834834">
              <w:rPr>
                <w:bCs/>
              </w:rPr>
              <w:t xml:space="preserve"> l</w:t>
            </w:r>
            <w:r w:rsidR="00D0034C" w:rsidRPr="00834834">
              <w:rPr>
                <w:bCs/>
              </w:rPr>
              <w:t>’</w:t>
            </w:r>
            <w:r w:rsidRPr="00834834">
              <w:rPr>
                <w:bCs/>
              </w:rPr>
              <w:t>exercice</w:t>
            </w:r>
            <w:r w:rsidRPr="00834834">
              <w:t xml:space="preserve"> non utilisés qui n</w:t>
            </w:r>
            <w:r w:rsidR="00D0034C" w:rsidRPr="00834834">
              <w:t>’</w:t>
            </w:r>
            <w:r w:rsidRPr="00834834">
              <w:t>ont pas fait l</w:t>
            </w:r>
            <w:r w:rsidR="00D0034C" w:rsidRPr="00834834">
              <w:t>’</w:t>
            </w:r>
            <w:r w:rsidRPr="00834834">
              <w:t>objet d</w:t>
            </w:r>
            <w:r w:rsidR="00D0034C" w:rsidRPr="00834834">
              <w:t>’</w:t>
            </w:r>
            <w:r w:rsidRPr="00834834">
              <w:t>un report.</w:t>
            </w:r>
          </w:p>
          <w:p w14:paraId="484BB19B" w14:textId="4C22B75E" w:rsidR="00566D82" w:rsidRPr="007673A5" w:rsidRDefault="004A2404" w:rsidP="00ED4F09">
            <w:pPr>
              <w:pStyle w:val="ListParagraph"/>
              <w:numPr>
                <w:ilvl w:val="0"/>
                <w:numId w:val="15"/>
              </w:numPr>
            </w:pPr>
            <w:r w:rsidRPr="007673A5">
              <w:t>Une liste des reports de droit est annexée aux comptes de gestion de l</w:t>
            </w:r>
            <w:r w:rsidR="00D0034C" w:rsidRPr="007673A5">
              <w:t>’</w:t>
            </w:r>
            <w:r w:rsidR="00566D82" w:rsidRPr="007673A5">
              <w:t>exercice clôturé.</w:t>
            </w:r>
          </w:p>
          <w:p w14:paraId="487E7130" w14:textId="77777777" w:rsidR="00566D82" w:rsidRPr="007673A5" w:rsidRDefault="004A2404" w:rsidP="00ED4F09">
            <w:pPr>
              <w:pStyle w:val="ListParagraph"/>
              <w:numPr>
                <w:ilvl w:val="0"/>
                <w:numId w:val="15"/>
              </w:numPr>
            </w:pPr>
            <w:r w:rsidRPr="007673A5">
              <w:t>Pour l</w:t>
            </w:r>
            <w:r w:rsidR="00D0034C" w:rsidRPr="007673A5">
              <w:t>’</w:t>
            </w:r>
            <w:r w:rsidRPr="007673A5">
              <w:t>exécution du budget, l</w:t>
            </w:r>
            <w:r w:rsidR="00D0034C" w:rsidRPr="007673A5">
              <w:t>’</w:t>
            </w:r>
            <w:r w:rsidRPr="007673A5">
              <w:t>utilisation des crédits reportés est suivie séparément, selon la nomenclature d</w:t>
            </w:r>
            <w:r w:rsidR="00D0034C" w:rsidRPr="007673A5">
              <w:t>’</w:t>
            </w:r>
            <w:r w:rsidRPr="007673A5">
              <w:t>origine, dans le compte de l</w:t>
            </w:r>
            <w:r w:rsidR="00D0034C" w:rsidRPr="007673A5">
              <w:t>’</w:t>
            </w:r>
            <w:r w:rsidRPr="007673A5">
              <w:t>exercice en cours.</w:t>
            </w:r>
          </w:p>
          <w:p w14:paraId="7C60ACDF" w14:textId="4142FF62" w:rsidR="004A2404" w:rsidRDefault="00BE3BEA" w:rsidP="00ED4F09">
            <w:pPr>
              <w:pStyle w:val="ListParagraph"/>
              <w:numPr>
                <w:ilvl w:val="0"/>
                <w:numId w:val="15"/>
              </w:numPr>
            </w:pPr>
            <w:r w:rsidRPr="007673A5">
              <w:t>Le virement de crédits reportés n</w:t>
            </w:r>
            <w:r w:rsidR="00D0034C" w:rsidRPr="007673A5">
              <w:t>’</w:t>
            </w:r>
            <w:r w:rsidRPr="007673A5">
              <w:t>est pas autorisé.</w:t>
            </w:r>
          </w:p>
          <w:p w14:paraId="424C23D3" w14:textId="56A0E7D0" w:rsidR="0039221D" w:rsidRPr="003F454C" w:rsidRDefault="0039221D" w:rsidP="0039221D">
            <w:pPr>
              <w:rPr>
                <w:lang w:val="fr-BE"/>
              </w:rPr>
            </w:pPr>
          </w:p>
          <w:p w14:paraId="75EA0288" w14:textId="4CE89023" w:rsidR="0039221D" w:rsidRPr="003F454C" w:rsidRDefault="0039221D" w:rsidP="0039221D">
            <w:pPr>
              <w:rPr>
                <w:lang w:val="fr-BE"/>
              </w:rPr>
            </w:pPr>
          </w:p>
          <w:p w14:paraId="10EE687B" w14:textId="252B0164" w:rsidR="0039221D" w:rsidRPr="003F454C" w:rsidRDefault="0039221D" w:rsidP="0039221D">
            <w:pPr>
              <w:rPr>
                <w:lang w:val="fr-BE"/>
              </w:rPr>
            </w:pPr>
          </w:p>
          <w:p w14:paraId="7DE11079" w14:textId="3E41E62C" w:rsidR="0039221D" w:rsidRPr="003F454C" w:rsidRDefault="0039221D" w:rsidP="0039221D">
            <w:pPr>
              <w:rPr>
                <w:lang w:val="fr-BE"/>
              </w:rPr>
            </w:pPr>
          </w:p>
          <w:p w14:paraId="0127F556" w14:textId="77777777" w:rsidR="0039221D" w:rsidRPr="003F454C" w:rsidRDefault="0039221D" w:rsidP="0039221D">
            <w:pPr>
              <w:rPr>
                <w:lang w:val="fr-BE"/>
              </w:rPr>
            </w:pPr>
          </w:p>
          <w:p w14:paraId="3F677249" w14:textId="77777777" w:rsidR="0039221D" w:rsidRPr="003F454C" w:rsidRDefault="0039221D" w:rsidP="0039221D">
            <w:pPr>
              <w:rPr>
                <w:lang w:val="fr-BE"/>
              </w:rPr>
            </w:pPr>
          </w:p>
          <w:p w14:paraId="23D4F168" w14:textId="2DF806F9" w:rsidR="004A2404" w:rsidRPr="00834834" w:rsidRDefault="004A2404" w:rsidP="00D4573A">
            <w:pPr>
              <w:pStyle w:val="Subtitle"/>
              <w:rPr>
                <w:lang w:val="fr-BE"/>
              </w:rPr>
            </w:pPr>
            <w:r w:rsidRPr="00834834">
              <w:rPr>
                <w:lang w:val="fr-BE"/>
              </w:rPr>
              <w:t>Article</w:t>
            </w:r>
            <w:r w:rsidR="00D0034C" w:rsidRPr="00834834">
              <w:rPr>
                <w:lang w:val="fr-BE"/>
              </w:rPr>
              <w:t> </w:t>
            </w:r>
            <w:r w:rsidRPr="00834834">
              <w:rPr>
                <w:lang w:val="fr-BE"/>
              </w:rPr>
              <w:t>15</w:t>
            </w:r>
          </w:p>
          <w:p w14:paraId="3B3DE924" w14:textId="580B0C49" w:rsidR="004A2404" w:rsidRPr="00834834" w:rsidRDefault="004A2404" w:rsidP="00D4573A">
            <w:pPr>
              <w:pStyle w:val="Subtitle"/>
              <w:rPr>
                <w:lang w:val="fr-BE"/>
              </w:rPr>
            </w:pPr>
            <w:r w:rsidRPr="00834834">
              <w:rPr>
                <w:lang w:val="fr-BE"/>
              </w:rPr>
              <w:t>Règles applicables en cas d</w:t>
            </w:r>
            <w:r w:rsidR="00D0034C" w:rsidRPr="00834834">
              <w:rPr>
                <w:lang w:val="fr-BE"/>
              </w:rPr>
              <w:t>’</w:t>
            </w:r>
            <w:r w:rsidRPr="00834834">
              <w:rPr>
                <w:lang w:val="fr-BE"/>
              </w:rPr>
              <w:t>adoption tardive du budget</w:t>
            </w:r>
          </w:p>
          <w:p w14:paraId="5125D30F" w14:textId="269FCC98" w:rsidR="004A2404" w:rsidRPr="00834834" w:rsidRDefault="004A2404" w:rsidP="00ED4F09">
            <w:pPr>
              <w:pStyle w:val="ListParagraph"/>
              <w:numPr>
                <w:ilvl w:val="0"/>
                <w:numId w:val="17"/>
              </w:numPr>
            </w:pPr>
            <w:r w:rsidRPr="00834834">
              <w:t>Si le budget n</w:t>
            </w:r>
            <w:r w:rsidR="00D0034C" w:rsidRPr="00834834">
              <w:t>’</w:t>
            </w:r>
            <w:r w:rsidRPr="00834834">
              <w:t>a pas été arrêté définitivement à l</w:t>
            </w:r>
            <w:r w:rsidR="00D0034C" w:rsidRPr="00834834">
              <w:t>’</w:t>
            </w:r>
            <w:r w:rsidRPr="00834834">
              <w:t>ouverture de l</w:t>
            </w:r>
            <w:r w:rsidR="00D0034C" w:rsidRPr="00834834">
              <w:t>’</w:t>
            </w:r>
            <w:r w:rsidRPr="00834834">
              <w:t>exercice, les dispositions énoncées aux paragraphes 2 à 7 du présent article sont d</w:t>
            </w:r>
            <w:r w:rsidR="00D0034C" w:rsidRPr="00834834">
              <w:t>’</w:t>
            </w:r>
            <w:r w:rsidRPr="00834834">
              <w:t>application et portent sur les opérations d</w:t>
            </w:r>
            <w:r w:rsidR="00D0034C" w:rsidRPr="00834834">
              <w:t>’</w:t>
            </w:r>
            <w:r w:rsidRPr="00834834">
              <w:t>engagement et de paiement relatives à des dépenses dont le principe a été admis dans le dernier budget régulièrement arrêté.</w:t>
            </w:r>
          </w:p>
          <w:p w14:paraId="331EBD24" w14:textId="492FAA84" w:rsidR="004A2404" w:rsidRPr="00834834" w:rsidRDefault="004A2404" w:rsidP="00ED4F09">
            <w:pPr>
              <w:pStyle w:val="ListParagraph"/>
              <w:numPr>
                <w:ilvl w:val="0"/>
                <w:numId w:val="17"/>
              </w:numPr>
            </w:pPr>
            <w:r w:rsidRPr="00834834">
              <w:t>Une dépense doit être considérée comme ayant été admise dans ses principes dans le dernier budget régulièrement arrêté si son imputation, sur une ligne budgétaire spécifique, avait été possible au titre de l</w:t>
            </w:r>
            <w:r w:rsidR="00D0034C" w:rsidRPr="00834834">
              <w:t>’</w:t>
            </w:r>
            <w:r w:rsidRPr="00834834">
              <w:t>exercice en référence.</w:t>
            </w:r>
          </w:p>
          <w:p w14:paraId="3D4AEDFD" w14:textId="405DC1D5" w:rsidR="004A2404" w:rsidRPr="00834834" w:rsidRDefault="004A2404" w:rsidP="00ED4F09">
            <w:pPr>
              <w:pStyle w:val="ListParagraph"/>
              <w:numPr>
                <w:ilvl w:val="0"/>
                <w:numId w:val="17"/>
              </w:numPr>
            </w:pPr>
            <w:r w:rsidRPr="00834834">
              <w:t>Les opérations d</w:t>
            </w:r>
            <w:r w:rsidR="00D0034C" w:rsidRPr="00834834">
              <w:t>’</w:t>
            </w:r>
            <w:r w:rsidRPr="00834834">
              <w:t>engagement peuvent être effectuées dans la limite, par chapitre, du quart de l</w:t>
            </w:r>
            <w:r w:rsidR="00D0034C" w:rsidRPr="00834834">
              <w:t>’</w:t>
            </w:r>
            <w:r w:rsidRPr="00834834">
              <w:t>ensemble des crédits inscrits au chapitre en question pour l</w:t>
            </w:r>
            <w:r w:rsidR="00D0034C" w:rsidRPr="00834834">
              <w:t>’</w:t>
            </w:r>
            <w:r w:rsidRPr="00834834">
              <w:t>exercice précédent, compte tenu des virements effectués, augmenté d</w:t>
            </w:r>
            <w:r w:rsidR="00D0034C" w:rsidRPr="00834834">
              <w:t>’</w:t>
            </w:r>
            <w:r w:rsidRPr="00834834">
              <w:t>un douzième pour chaque mois écoulé, sans que la limite des crédits prévus dans le projet de budget établi au terme de l</w:t>
            </w:r>
            <w:r w:rsidR="00D0034C" w:rsidRPr="00834834">
              <w:t>’</w:t>
            </w:r>
            <w:r w:rsidRPr="00834834">
              <w:t>article</w:t>
            </w:r>
            <w:r w:rsidR="00D0034C" w:rsidRPr="00834834">
              <w:t> </w:t>
            </w:r>
            <w:r w:rsidRPr="00834834">
              <w:t>21 ou à défaut dans l</w:t>
            </w:r>
            <w:r w:rsidR="00D0034C" w:rsidRPr="00834834">
              <w:t>’</w:t>
            </w:r>
            <w:r w:rsidRPr="00834834">
              <w:t>avant-projet de budget puisse être dépassée.</w:t>
            </w:r>
          </w:p>
          <w:p w14:paraId="7E98C990" w14:textId="4061F70B" w:rsidR="00D10387" w:rsidRPr="00834834" w:rsidRDefault="004A2404" w:rsidP="00ED4F09">
            <w:pPr>
              <w:pStyle w:val="ListParagraph"/>
              <w:numPr>
                <w:ilvl w:val="0"/>
                <w:numId w:val="17"/>
              </w:numPr>
            </w:pPr>
            <w:r w:rsidRPr="00834834">
              <w:t>Les opérations de paiement peuvent être effectuées mensuellement dans la limite, par chapitre, du douzième de l</w:t>
            </w:r>
            <w:r w:rsidR="00D0034C" w:rsidRPr="00834834">
              <w:t>’</w:t>
            </w:r>
            <w:r w:rsidRPr="00834834">
              <w:t>ensemble des crédits autorisés au chapitre en question pour l</w:t>
            </w:r>
            <w:r w:rsidR="00D0034C" w:rsidRPr="00834834">
              <w:t>’</w:t>
            </w:r>
            <w:r w:rsidRPr="00834834">
              <w:t>exercice précédent, compte tenu des virements effectués, sans que cette mesure puisse avoir pour effet de mettre à la disposition des Écoles et du Bureau du Secrétaire général, mensuellement, des crédits supérieurs au douzième de ceux qui sont prévus dans le projet de budget établi au terme de l</w:t>
            </w:r>
            <w:r w:rsidR="00D0034C" w:rsidRPr="00834834">
              <w:t>’</w:t>
            </w:r>
            <w:r w:rsidRPr="00834834">
              <w:t>article</w:t>
            </w:r>
            <w:r w:rsidR="00D0034C" w:rsidRPr="00834834">
              <w:t> </w:t>
            </w:r>
            <w:r w:rsidRPr="00834834">
              <w:t>21 ou à défaut dans l</w:t>
            </w:r>
            <w:r w:rsidR="00D0034C" w:rsidRPr="00834834">
              <w:t>’</w:t>
            </w:r>
            <w:r w:rsidRPr="00834834">
              <w:t>avant-projet de budget.</w:t>
            </w:r>
          </w:p>
          <w:p w14:paraId="4679A487" w14:textId="56C438D1" w:rsidR="00D10387" w:rsidRPr="00834834" w:rsidRDefault="004A2404" w:rsidP="00ED4F09">
            <w:pPr>
              <w:pStyle w:val="ListParagraph"/>
              <w:numPr>
                <w:ilvl w:val="0"/>
                <w:numId w:val="17"/>
              </w:numPr>
            </w:pPr>
            <w:r w:rsidRPr="00834834">
              <w:t>À la demande du Conseil d</w:t>
            </w:r>
            <w:r w:rsidR="00D0034C" w:rsidRPr="00834834">
              <w:t>’</w:t>
            </w:r>
            <w:r w:rsidRPr="00834834">
              <w:t>administration ou du Secrétaire général, et sans préjudice du paragraphe 4, le Conseil supérieur consulté par procédure écrite peut, en fonction des nécessités de la gestion, autoriser simultanément deux douzièmes provisoires ou plus.</w:t>
            </w:r>
          </w:p>
          <w:p w14:paraId="43A9BBC4" w14:textId="6EB69481" w:rsidR="00D10387" w:rsidRPr="00834834" w:rsidRDefault="004A2404" w:rsidP="00ED4F09">
            <w:pPr>
              <w:pStyle w:val="ListParagraph"/>
              <w:numPr>
                <w:ilvl w:val="0"/>
                <w:numId w:val="17"/>
              </w:numPr>
            </w:pPr>
            <w:r w:rsidRPr="00834834">
              <w:t>Les décisions visées au paragraphe 5 prévoient les mesures nécessaires en matière de recettes pour l</w:t>
            </w:r>
            <w:r w:rsidR="00D0034C" w:rsidRPr="00834834">
              <w:t>’</w:t>
            </w:r>
            <w:r w:rsidRPr="00834834">
              <w:t>application du présent article.</w:t>
            </w:r>
          </w:p>
          <w:p w14:paraId="2FA73CC4" w14:textId="78BBA537" w:rsidR="00EB7B63" w:rsidRPr="00834834" w:rsidRDefault="004A2404" w:rsidP="00ED4F09">
            <w:pPr>
              <w:pStyle w:val="ListParagraph"/>
              <w:numPr>
                <w:ilvl w:val="0"/>
                <w:numId w:val="17"/>
              </w:numPr>
            </w:pPr>
            <w:r w:rsidRPr="00834834">
              <w:t>L’application des mesures prévues au paragraphe 6 ne peut pas, pour la contribution de l’Union européenne, donner lieu à un dépassement des crédits inscrits au budget général de l’Union européenne.</w:t>
            </w:r>
          </w:p>
          <w:p w14:paraId="3DD30B1D" w14:textId="24EA7DF2" w:rsidR="004A2404" w:rsidRPr="00834834" w:rsidRDefault="004A2404" w:rsidP="00D4573A">
            <w:pPr>
              <w:pStyle w:val="Subtitle"/>
              <w:rPr>
                <w:lang w:val="fr-BE"/>
              </w:rPr>
            </w:pPr>
            <w:r w:rsidRPr="00834834">
              <w:rPr>
                <w:lang w:val="fr-BE"/>
              </w:rPr>
              <w:t>Article</w:t>
            </w:r>
            <w:r w:rsidR="00D0034C" w:rsidRPr="00834834">
              <w:rPr>
                <w:lang w:val="fr-BE"/>
              </w:rPr>
              <w:t> </w:t>
            </w:r>
            <w:r w:rsidRPr="00834834">
              <w:rPr>
                <w:lang w:val="fr-BE"/>
              </w:rPr>
              <w:t>16</w:t>
            </w:r>
          </w:p>
          <w:p w14:paraId="645E1E31" w14:textId="0C0F32E3" w:rsidR="004A2404" w:rsidRPr="00834834" w:rsidRDefault="004A2404" w:rsidP="00D4573A">
            <w:pPr>
              <w:pStyle w:val="Subtitle"/>
              <w:rPr>
                <w:lang w:val="fr-BE"/>
              </w:rPr>
            </w:pPr>
            <w:r w:rsidRPr="00834834">
              <w:rPr>
                <w:lang w:val="fr-BE"/>
              </w:rPr>
              <w:t>Principe d</w:t>
            </w:r>
            <w:r w:rsidR="00D0034C" w:rsidRPr="00834834">
              <w:rPr>
                <w:lang w:val="fr-BE"/>
              </w:rPr>
              <w:t>’</w:t>
            </w:r>
            <w:r w:rsidRPr="00834834">
              <w:rPr>
                <w:lang w:val="fr-BE"/>
              </w:rPr>
              <w:t xml:space="preserve">équilibre </w:t>
            </w:r>
          </w:p>
          <w:p w14:paraId="09B922A8" w14:textId="77777777" w:rsidR="004A2404" w:rsidRPr="00834834" w:rsidRDefault="004A2404" w:rsidP="00ED4F09">
            <w:pPr>
              <w:pStyle w:val="ListParagraph"/>
              <w:numPr>
                <w:ilvl w:val="0"/>
                <w:numId w:val="18"/>
              </w:numPr>
            </w:pPr>
            <w:r w:rsidRPr="00834834">
              <w:t>Les recettes et les dépenses doivent être équilibrées.</w:t>
            </w:r>
          </w:p>
          <w:p w14:paraId="1E734D3E" w14:textId="635D1E1C" w:rsidR="004A2404" w:rsidRPr="00834834" w:rsidRDefault="004A2404" w:rsidP="00ED4F09">
            <w:pPr>
              <w:pStyle w:val="ListParagraph"/>
              <w:numPr>
                <w:ilvl w:val="0"/>
                <w:numId w:val="18"/>
              </w:numPr>
            </w:pPr>
            <w:r w:rsidRPr="00834834">
              <w:t>Les dépenses ne peuvent dépasser la somme du montant de la contribution de l</w:t>
            </w:r>
            <w:r w:rsidR="00D0034C" w:rsidRPr="00834834">
              <w:t>’</w:t>
            </w:r>
            <w:r w:rsidRPr="00834834">
              <w:t>Union, des recettes propres et de toute autre recette visée à l</w:t>
            </w:r>
            <w:r w:rsidR="00D0034C" w:rsidRPr="00834834">
              <w:t>’</w:t>
            </w:r>
            <w:r w:rsidRPr="00834834">
              <w:t>article 1. La contribution de l</w:t>
            </w:r>
            <w:r w:rsidR="00D0034C" w:rsidRPr="00834834">
              <w:t>’</w:t>
            </w:r>
            <w:r w:rsidRPr="00834834">
              <w:t>Union aux Écoles constitue une contribution d</w:t>
            </w:r>
            <w:r w:rsidR="00D0034C" w:rsidRPr="00834834">
              <w:t>’</w:t>
            </w:r>
            <w:r w:rsidRPr="00834834">
              <w:t xml:space="preserve">équilibrage pour le budget des Écoles. </w:t>
            </w:r>
          </w:p>
          <w:p w14:paraId="4C07934B" w14:textId="686581E3" w:rsidR="00566D82" w:rsidRPr="00834834" w:rsidRDefault="004A2404" w:rsidP="00ED4F09">
            <w:pPr>
              <w:pStyle w:val="ListParagraph"/>
              <w:numPr>
                <w:ilvl w:val="0"/>
                <w:numId w:val="18"/>
              </w:numPr>
            </w:pPr>
            <w:r w:rsidRPr="00834834">
              <w:t>Les Écoles appliquent une gestion des liquidités rigoureuse, en tenant dûment compte des recettes affectées, afin de garantir que les soldes de trésorerie sont limités à des besoins dûment justifiés.</w:t>
            </w:r>
          </w:p>
          <w:p w14:paraId="3240DF9C" w14:textId="58F50588" w:rsidR="00631245" w:rsidRPr="00834834" w:rsidRDefault="004A2404" w:rsidP="00D4573A">
            <w:pPr>
              <w:pStyle w:val="Subtitle"/>
              <w:rPr>
                <w:strike/>
                <w:lang w:val="fr-BE"/>
              </w:rPr>
            </w:pPr>
            <w:r w:rsidRPr="00834834">
              <w:rPr>
                <w:lang w:val="fr-BE"/>
              </w:rPr>
              <w:t>Article</w:t>
            </w:r>
            <w:r w:rsidR="00D0034C" w:rsidRPr="00834834">
              <w:rPr>
                <w:lang w:val="fr-BE"/>
              </w:rPr>
              <w:t> </w:t>
            </w:r>
            <w:r w:rsidRPr="00834834">
              <w:rPr>
                <w:lang w:val="fr-BE"/>
              </w:rPr>
              <w:t>17</w:t>
            </w:r>
          </w:p>
          <w:p w14:paraId="7DCF42D4" w14:textId="4AE20859" w:rsidR="004A2404" w:rsidRPr="00834834" w:rsidRDefault="004A2404" w:rsidP="00D4573A">
            <w:pPr>
              <w:pStyle w:val="Subtitle"/>
              <w:rPr>
                <w:lang w:val="fr-BE"/>
              </w:rPr>
            </w:pPr>
            <w:r w:rsidRPr="00834834">
              <w:rPr>
                <w:lang w:val="fr-BE"/>
              </w:rPr>
              <w:t>Principe de transparence</w:t>
            </w:r>
          </w:p>
          <w:p w14:paraId="66A63551" w14:textId="77777777" w:rsidR="00566D82" w:rsidRPr="00834834" w:rsidRDefault="004A2404" w:rsidP="00ED4F09">
            <w:pPr>
              <w:pStyle w:val="ListParagraph"/>
              <w:numPr>
                <w:ilvl w:val="0"/>
                <w:numId w:val="19"/>
              </w:numPr>
            </w:pPr>
            <w:r w:rsidRPr="00834834">
              <w:t>Le budget des Écoles est établi, exécuté et fait l</w:t>
            </w:r>
            <w:r w:rsidR="00D0034C" w:rsidRPr="00834834">
              <w:t>’</w:t>
            </w:r>
            <w:r w:rsidRPr="00834834">
              <w:t>objet d</w:t>
            </w:r>
            <w:r w:rsidR="00D0034C" w:rsidRPr="00834834">
              <w:t>’</w:t>
            </w:r>
            <w:r w:rsidRPr="00834834">
              <w:t>une reddition des comptes dans le respect du principe de transparence.</w:t>
            </w:r>
          </w:p>
          <w:p w14:paraId="47D56D3E" w14:textId="77777777" w:rsidR="00566D82" w:rsidRPr="00834834" w:rsidRDefault="004A2404" w:rsidP="00ED4F09">
            <w:pPr>
              <w:pStyle w:val="ListParagraph"/>
              <w:numPr>
                <w:ilvl w:val="0"/>
                <w:numId w:val="19"/>
              </w:numPr>
            </w:pPr>
            <w:r w:rsidRPr="00834834">
              <w:rPr>
                <w:bCs/>
              </w:rPr>
              <w:lastRenderedPageBreak/>
              <w:t>Le budget et les budgets rectificatifs, tels qu’ils ont été arrêtés, sont publiés à l</w:t>
            </w:r>
            <w:r w:rsidR="00D0034C" w:rsidRPr="00834834">
              <w:rPr>
                <w:bCs/>
              </w:rPr>
              <w:t>’</w:t>
            </w:r>
            <w:r w:rsidRPr="00834834">
              <w:rPr>
                <w:bCs/>
              </w:rPr>
              <w:t>initiative du Secrétaire général sur le site Internet de son Bureau dans les trois mois suivant leur adoption.</w:t>
            </w:r>
          </w:p>
          <w:p w14:paraId="31F12685" w14:textId="77777777" w:rsidR="00566D82" w:rsidRPr="00834834" w:rsidRDefault="004A2404" w:rsidP="00ED4F09">
            <w:pPr>
              <w:pStyle w:val="ListParagraph"/>
              <w:numPr>
                <w:ilvl w:val="0"/>
                <w:numId w:val="19"/>
              </w:numPr>
            </w:pPr>
            <w:r w:rsidRPr="00834834">
              <w:t xml:space="preserve">Les comptes consolidés définitifs et le rapport sur la gestion budgétaire et financière sont publiés sur le site Internet du </w:t>
            </w:r>
            <w:r w:rsidRPr="00834834">
              <w:rPr>
                <w:bCs/>
              </w:rPr>
              <w:t>Bureau du Secrétaire général.</w:t>
            </w:r>
          </w:p>
          <w:p w14:paraId="5238B66E" w14:textId="3E111F78" w:rsidR="00790817" w:rsidRPr="00834834" w:rsidRDefault="004A2404" w:rsidP="00ED4F09">
            <w:pPr>
              <w:pStyle w:val="ListParagraph"/>
              <w:numPr>
                <w:ilvl w:val="0"/>
                <w:numId w:val="19"/>
              </w:numPr>
            </w:pPr>
            <w:r w:rsidRPr="00834834">
              <w:t>Les informations sur les bénéficiaires ainsi que la nature et l</w:t>
            </w:r>
            <w:r w:rsidR="00D0034C" w:rsidRPr="00834834">
              <w:t>’</w:t>
            </w:r>
            <w:r w:rsidRPr="00834834">
              <w:t>objet de la mesure financée par le budget des Écoles à l</w:t>
            </w:r>
            <w:r w:rsidR="00D0034C" w:rsidRPr="00834834">
              <w:t>’</w:t>
            </w:r>
            <w:r w:rsidRPr="00834834">
              <w:t>issue d</w:t>
            </w:r>
            <w:r w:rsidR="00D0034C" w:rsidRPr="00834834">
              <w:t>’</w:t>
            </w:r>
            <w:r w:rsidRPr="00834834">
              <w:t>une procédure de marché public sont publiés sur le site Internet du Secrétaire général d</w:t>
            </w:r>
            <w:r w:rsidR="00D0034C" w:rsidRPr="00834834">
              <w:t>’</w:t>
            </w:r>
            <w:r w:rsidRPr="00834834">
              <w:t xml:space="preserve">une manière appropriée et en temps opportun et dans le respect des exigences de confidentialité et de sécurité, et en particulier de la protection des données à caractère personnel. </w:t>
            </w:r>
          </w:p>
          <w:p w14:paraId="3116F9EB" w14:textId="7567B141" w:rsidR="004A2404" w:rsidRPr="00834834" w:rsidRDefault="004A2404" w:rsidP="00D4573A">
            <w:pPr>
              <w:pStyle w:val="ListParagraph"/>
            </w:pPr>
            <w:r w:rsidRPr="00834834">
              <w:rPr>
                <w:bCs/>
              </w:rPr>
              <w:t xml:space="preserve">Lorsque des personnes physiques sont concernées, la publication se limite </w:t>
            </w:r>
            <w:r w:rsidRPr="00834834">
              <w:t>au nom et à la localité du bénéficiaire, au montant octroyé et à l</w:t>
            </w:r>
            <w:r w:rsidR="00D0034C" w:rsidRPr="00834834">
              <w:t>’</w:t>
            </w:r>
            <w:r w:rsidRPr="00834834">
              <w:t>objet du contrat. En ce qui concerne les données à caractère personnel se rapportant aux personnes physiques, les informations publiées sont supprimées deux ans après la fin de l’exercice au cours duquel les fonds ont été octroyés.</w:t>
            </w:r>
          </w:p>
          <w:p w14:paraId="3711B263" w14:textId="1A2D719C" w:rsidR="00790817" w:rsidRPr="00834834" w:rsidRDefault="006E0FAD" w:rsidP="00D4573A">
            <w:pPr>
              <w:pStyle w:val="ListParagraph"/>
            </w:pPr>
            <w:r w:rsidRPr="00834834">
              <w:rPr>
                <w:bCs/>
              </w:rPr>
              <w:t>Il est renoncé à la publication si celle-ci risque de mettre en péril les droits et libertés des personnes concernées, tels que protégés par la Charte des droits fondamentaux de l’Union européenne, ou de nuire aux intérêts commerciaux des destinataires.</w:t>
            </w:r>
          </w:p>
          <w:p w14:paraId="6471487D" w14:textId="0AAE33C2" w:rsidR="004A2404" w:rsidRPr="00834834" w:rsidRDefault="004A2404" w:rsidP="00D4573A">
            <w:pPr>
              <w:pStyle w:val="ListParagraph"/>
            </w:pPr>
            <w:r w:rsidRPr="00834834">
              <w:t>Les informations sont publiées au plus tard le 30 juin de l</w:t>
            </w:r>
            <w:r w:rsidR="00D0034C" w:rsidRPr="00834834">
              <w:t>’</w:t>
            </w:r>
            <w:r w:rsidRPr="00834834">
              <w:t>année suivant l</w:t>
            </w:r>
            <w:r w:rsidR="00D0034C" w:rsidRPr="00834834">
              <w:t>’</w:t>
            </w:r>
            <w:r w:rsidRPr="00834834">
              <w:t>exercice au cours duquel les fonds ont été attribués.</w:t>
            </w:r>
          </w:p>
          <w:p w14:paraId="68F6C7D0" w14:textId="0E1EAEF6" w:rsidR="004A2404" w:rsidRPr="00834834" w:rsidRDefault="004A2404" w:rsidP="00D4573A">
            <w:pPr>
              <w:pStyle w:val="Subtitle"/>
              <w:rPr>
                <w:strike/>
                <w:lang w:val="fr-BE"/>
              </w:rPr>
            </w:pPr>
            <w:r w:rsidRPr="00834834">
              <w:rPr>
                <w:lang w:val="fr-BE"/>
              </w:rPr>
              <w:t>Article</w:t>
            </w:r>
            <w:r w:rsidR="00D0034C" w:rsidRPr="00834834">
              <w:rPr>
                <w:lang w:val="fr-BE"/>
              </w:rPr>
              <w:t> </w:t>
            </w:r>
            <w:r w:rsidRPr="00834834">
              <w:rPr>
                <w:lang w:val="fr-BE"/>
              </w:rPr>
              <w:t>18</w:t>
            </w:r>
          </w:p>
          <w:p w14:paraId="5E5C5FAF" w14:textId="3675F976" w:rsidR="004A2404" w:rsidRPr="00834834" w:rsidRDefault="004A2404" w:rsidP="00D4573A">
            <w:pPr>
              <w:pStyle w:val="Subtitle"/>
              <w:rPr>
                <w:bCs/>
                <w:lang w:val="fr-BE"/>
              </w:rPr>
            </w:pPr>
            <w:r w:rsidRPr="00834834">
              <w:rPr>
                <w:lang w:val="fr-BE"/>
              </w:rPr>
              <w:t>Principe d</w:t>
            </w:r>
            <w:r w:rsidR="00D0034C" w:rsidRPr="00834834">
              <w:rPr>
                <w:lang w:val="fr-BE"/>
              </w:rPr>
              <w:t>’</w:t>
            </w:r>
            <w:r w:rsidRPr="00834834">
              <w:rPr>
                <w:lang w:val="fr-BE"/>
              </w:rPr>
              <w:t>unité de compte</w:t>
            </w:r>
          </w:p>
          <w:p w14:paraId="18CFB6B6" w14:textId="4A2ADC0C" w:rsidR="004A2404" w:rsidRPr="00834834" w:rsidRDefault="004A2404" w:rsidP="00D4573A">
            <w:pPr>
              <w:rPr>
                <w:bCs/>
                <w:lang w:val="fr-BE"/>
              </w:rPr>
            </w:pPr>
            <w:r w:rsidRPr="00834834">
              <w:rPr>
                <w:lang w:val="fr-BE"/>
              </w:rPr>
              <w:t>Le budget est établi et exécuté en euros. Les comptes sont libellés en euros.</w:t>
            </w:r>
          </w:p>
          <w:p w14:paraId="73A11A70" w14:textId="7DCD3B4E" w:rsidR="00FC363E" w:rsidRPr="00834834" w:rsidRDefault="00FC363E" w:rsidP="00D4573A">
            <w:pPr>
              <w:rPr>
                <w:lang w:val="fr-BE"/>
              </w:rPr>
            </w:pPr>
            <w:r w:rsidRPr="00834834">
              <w:rPr>
                <w:lang w:val="fr-BE"/>
              </w:rPr>
              <w:t>La conversion entre euro et monnaies nationales est effectuée à l</w:t>
            </w:r>
            <w:r w:rsidR="00D0034C" w:rsidRPr="00834834">
              <w:rPr>
                <w:lang w:val="fr-BE"/>
              </w:rPr>
              <w:t>’</w:t>
            </w:r>
            <w:r w:rsidRPr="00834834">
              <w:rPr>
                <w:lang w:val="fr-BE"/>
              </w:rPr>
              <w:t>aide des taux mensuels de l</w:t>
            </w:r>
            <w:r w:rsidR="00D0034C" w:rsidRPr="00834834">
              <w:rPr>
                <w:lang w:val="fr-BE"/>
              </w:rPr>
              <w:t>’</w:t>
            </w:r>
            <w:r w:rsidRPr="00834834">
              <w:rPr>
                <w:lang w:val="fr-BE"/>
              </w:rPr>
              <w:t>euro.</w:t>
            </w:r>
          </w:p>
          <w:p w14:paraId="5042F720" w14:textId="2FD1565D" w:rsidR="00790817" w:rsidRPr="00834834" w:rsidRDefault="00FC363E" w:rsidP="00D4573A">
            <w:pPr>
              <w:rPr>
                <w:lang w:val="fr-BE"/>
              </w:rPr>
            </w:pPr>
            <w:r w:rsidRPr="00834834">
              <w:rPr>
                <w:lang w:val="fr-BE"/>
              </w:rPr>
              <w:t>Les taux mensuels sont fixés pour chaque monnaie sur la base des cours de l</w:t>
            </w:r>
            <w:r w:rsidR="00D0034C" w:rsidRPr="00834834">
              <w:rPr>
                <w:lang w:val="fr-BE"/>
              </w:rPr>
              <w:t>’</w:t>
            </w:r>
            <w:r w:rsidRPr="00834834">
              <w:rPr>
                <w:lang w:val="fr-BE"/>
              </w:rPr>
              <w:t>avant-dernier jour ouvrable du mois précédent celui pour lequel les taux sont établis, tels que publiés dans le Journal officiel de l</w:t>
            </w:r>
            <w:r w:rsidR="00D0034C" w:rsidRPr="00834834">
              <w:rPr>
                <w:lang w:val="fr-BE"/>
              </w:rPr>
              <w:t>’</w:t>
            </w:r>
            <w:r w:rsidRPr="00834834">
              <w:rPr>
                <w:lang w:val="fr-BE"/>
              </w:rPr>
              <w:t>Union européenne, série C.</w:t>
            </w:r>
          </w:p>
          <w:p w14:paraId="7E97030F" w14:textId="1AAD2A05" w:rsidR="00FC363E" w:rsidRPr="00834834" w:rsidRDefault="00FC363E" w:rsidP="00D4573A">
            <w:pPr>
              <w:rPr>
                <w:lang w:val="fr-BE"/>
              </w:rPr>
            </w:pPr>
            <w:r w:rsidRPr="00834834">
              <w:rPr>
                <w:bCs/>
                <w:lang w:val="fr-BE"/>
              </w:rPr>
              <w:t>Lorsque les propositions d</w:t>
            </w:r>
            <w:r w:rsidR="00D0034C" w:rsidRPr="00834834">
              <w:rPr>
                <w:bCs/>
                <w:lang w:val="fr-BE"/>
              </w:rPr>
              <w:t>’</w:t>
            </w:r>
            <w:r w:rsidRPr="00834834">
              <w:rPr>
                <w:bCs/>
                <w:lang w:val="fr-BE"/>
              </w:rPr>
              <w:t>engagement et de constatation de créances sont établies en monnaies nationales, la conversion en euro est faite aux taux en vigueur pendant le mois de comptabilisation.</w:t>
            </w:r>
          </w:p>
          <w:p w14:paraId="025D5947" w14:textId="4452B6F3" w:rsidR="00FC363E" w:rsidRPr="00834834" w:rsidRDefault="00FC363E" w:rsidP="00D4573A">
            <w:pPr>
              <w:rPr>
                <w:lang w:val="fr-BE"/>
              </w:rPr>
            </w:pPr>
            <w:r w:rsidRPr="00834834">
              <w:rPr>
                <w:lang w:val="fr-BE"/>
              </w:rPr>
              <w:t>L</w:t>
            </w:r>
            <w:r w:rsidR="00D0034C" w:rsidRPr="00834834">
              <w:rPr>
                <w:lang w:val="fr-BE"/>
              </w:rPr>
              <w:t>’</w:t>
            </w:r>
            <w:r w:rsidRPr="00834834">
              <w:rPr>
                <w:lang w:val="fr-BE"/>
              </w:rPr>
              <w:t>ordre de paiement correspondant et l</w:t>
            </w:r>
            <w:r w:rsidR="00D0034C" w:rsidRPr="00834834">
              <w:rPr>
                <w:lang w:val="fr-BE"/>
              </w:rPr>
              <w:t>’</w:t>
            </w:r>
            <w:r w:rsidRPr="00834834">
              <w:rPr>
                <w:lang w:val="fr-BE"/>
              </w:rPr>
              <w:t>ordre de recouvrement ne peuvent être établis que dans la même monnaie.</w:t>
            </w:r>
          </w:p>
          <w:p w14:paraId="5236B1F6" w14:textId="6948998A" w:rsidR="00FC363E" w:rsidRPr="00834834" w:rsidRDefault="00FC363E" w:rsidP="00D4573A">
            <w:pPr>
              <w:rPr>
                <w:lang w:val="fr-BE"/>
              </w:rPr>
            </w:pPr>
            <w:r w:rsidRPr="00834834">
              <w:rPr>
                <w:lang w:val="fr-BE"/>
              </w:rPr>
              <w:t>Les taux de l</w:t>
            </w:r>
            <w:r w:rsidR="00D0034C" w:rsidRPr="00834834">
              <w:rPr>
                <w:lang w:val="fr-BE"/>
              </w:rPr>
              <w:t>’</w:t>
            </w:r>
            <w:r w:rsidRPr="00834834">
              <w:rPr>
                <w:lang w:val="fr-BE"/>
              </w:rPr>
              <w:t>euro de décembre sont retenus pour le calcul des engagements restant à payer à la clôture de l</w:t>
            </w:r>
            <w:r w:rsidR="00D0034C" w:rsidRPr="00834834">
              <w:rPr>
                <w:lang w:val="fr-BE"/>
              </w:rPr>
              <w:t>’</w:t>
            </w:r>
            <w:r w:rsidRPr="00834834">
              <w:rPr>
                <w:lang w:val="fr-BE"/>
              </w:rPr>
              <w:t>exercice et pour la détermination des crédits à reporter.</w:t>
            </w:r>
          </w:p>
          <w:p w14:paraId="17561AEA" w14:textId="11EACE86" w:rsidR="00C47405" w:rsidRPr="00834834" w:rsidRDefault="00C47405" w:rsidP="00D4573A">
            <w:pPr>
              <w:pStyle w:val="Subtitle"/>
              <w:rPr>
                <w:bCs/>
                <w:lang w:val="fr-BE"/>
              </w:rPr>
            </w:pPr>
            <w:r w:rsidRPr="00834834">
              <w:rPr>
                <w:lang w:val="fr-BE"/>
              </w:rPr>
              <w:t>Article</w:t>
            </w:r>
            <w:r w:rsidR="00D0034C" w:rsidRPr="00834834">
              <w:rPr>
                <w:lang w:val="fr-BE"/>
              </w:rPr>
              <w:t> </w:t>
            </w:r>
            <w:r w:rsidRPr="00834834">
              <w:rPr>
                <w:lang w:val="fr-BE"/>
              </w:rPr>
              <w:t>19</w:t>
            </w:r>
          </w:p>
          <w:p w14:paraId="5D5346BE" w14:textId="77777777" w:rsidR="00C47405" w:rsidRPr="00834834" w:rsidRDefault="00C47405" w:rsidP="00D4573A">
            <w:pPr>
              <w:pStyle w:val="Subtitle"/>
              <w:rPr>
                <w:bCs/>
                <w:lang w:val="fr-BE"/>
              </w:rPr>
            </w:pPr>
            <w:r w:rsidRPr="00834834">
              <w:rPr>
                <w:bCs/>
                <w:lang w:val="fr-BE"/>
              </w:rPr>
              <w:t>Comptabilité extrabudgétaire</w:t>
            </w:r>
          </w:p>
          <w:p w14:paraId="2BC92CEF" w14:textId="77777777" w:rsidR="00351870" w:rsidRPr="00D4573A" w:rsidRDefault="00683A29" w:rsidP="00ED4F09">
            <w:pPr>
              <w:pStyle w:val="ListParagraph"/>
              <w:numPr>
                <w:ilvl w:val="0"/>
                <w:numId w:val="20"/>
              </w:numPr>
            </w:pPr>
            <w:r w:rsidRPr="00D4573A">
              <w:t>Par dérogation à l</w:t>
            </w:r>
            <w:r w:rsidR="00D0034C" w:rsidRPr="00D4573A">
              <w:t>’</w:t>
            </w:r>
            <w:r w:rsidRPr="00D4573A">
              <w:t>article 11, toute recette extrabudgétaire et toute dépense extrabudgétaire liées à des activités des Écoles autres que celles expressément visées par d</w:t>
            </w:r>
            <w:r w:rsidR="00D0034C" w:rsidRPr="00D4573A">
              <w:t>’</w:t>
            </w:r>
            <w:r w:rsidRPr="00D4573A">
              <w:t>autres articles du présent Règlement doivent également être enregistrées dans la comptabilité en utilisant un ordre de recouvrement ou de paiement signé par l</w:t>
            </w:r>
            <w:r w:rsidR="00D0034C" w:rsidRPr="00D4573A">
              <w:t>’</w:t>
            </w:r>
            <w:r w:rsidRPr="00D4573A">
              <w:t>ordonnateur responsable. Un mémorandum de l</w:t>
            </w:r>
            <w:r w:rsidR="00D0034C" w:rsidRPr="00D4573A">
              <w:t>’</w:t>
            </w:r>
            <w:r w:rsidRPr="00D4573A">
              <w:t>ordonnateur des Écoles européennes détaille les activités visées par cette disposition.</w:t>
            </w:r>
          </w:p>
          <w:p w14:paraId="0892BF04" w14:textId="77777777" w:rsidR="00351870" w:rsidRPr="00D4573A" w:rsidRDefault="00A01086" w:rsidP="00ED4F09">
            <w:pPr>
              <w:pStyle w:val="ListParagraph"/>
              <w:numPr>
                <w:ilvl w:val="0"/>
                <w:numId w:val="20"/>
              </w:numPr>
            </w:pPr>
            <w:r w:rsidRPr="00D4573A">
              <w:t>Des comptes extrabudgétaires sont créés à la demande du Conseil d’administration après approbation par l</w:t>
            </w:r>
            <w:r w:rsidR="00D0034C" w:rsidRPr="00D4573A">
              <w:t>’</w:t>
            </w:r>
            <w:r w:rsidRPr="00D4573A">
              <w:t>ordonnateur des Écoles européennes.</w:t>
            </w:r>
          </w:p>
          <w:p w14:paraId="2F422806" w14:textId="1953980C" w:rsidR="00C47405" w:rsidRDefault="00A01086" w:rsidP="00ED4F09">
            <w:pPr>
              <w:pStyle w:val="ListParagraph"/>
              <w:numPr>
                <w:ilvl w:val="0"/>
                <w:numId w:val="20"/>
              </w:numPr>
            </w:pPr>
            <w:r w:rsidRPr="00D4573A">
              <w:t>Ces transactions sont soumises aux dispositions du Titre V.</w:t>
            </w:r>
          </w:p>
          <w:p w14:paraId="36FCBFDA" w14:textId="5BB92CBF" w:rsidR="005E627D" w:rsidRPr="003F454C" w:rsidRDefault="005E627D" w:rsidP="005E627D">
            <w:pPr>
              <w:rPr>
                <w:lang w:val="fr-BE"/>
              </w:rPr>
            </w:pPr>
          </w:p>
          <w:p w14:paraId="69F6729A" w14:textId="2E976845" w:rsidR="005E627D" w:rsidRPr="003F454C" w:rsidRDefault="005E627D" w:rsidP="005E627D">
            <w:pPr>
              <w:rPr>
                <w:lang w:val="fr-BE"/>
              </w:rPr>
            </w:pPr>
          </w:p>
          <w:p w14:paraId="583AFBDF" w14:textId="5464D7A6" w:rsidR="004A2404" w:rsidRPr="00834834" w:rsidRDefault="00D420D0" w:rsidP="00D4573A">
            <w:pPr>
              <w:pStyle w:val="Heading1"/>
            </w:pPr>
            <w:r w:rsidRPr="00834834">
              <w:lastRenderedPageBreak/>
              <w:t>TITRE</w:t>
            </w:r>
            <w:r w:rsidR="00D0034C" w:rsidRPr="00834834">
              <w:t> </w:t>
            </w:r>
            <w:r w:rsidRPr="00834834">
              <w:t>II</w:t>
            </w:r>
          </w:p>
          <w:p w14:paraId="69DD7DE4" w14:textId="77777777" w:rsidR="004A2404" w:rsidRPr="00834834" w:rsidRDefault="004A2404" w:rsidP="00D4573A">
            <w:pPr>
              <w:pStyle w:val="Heading1"/>
            </w:pPr>
            <w:r w:rsidRPr="00834834">
              <w:t>ÉTABLISSEMENT ET STRUCTURE DU BUDGET</w:t>
            </w:r>
          </w:p>
          <w:p w14:paraId="5DBDE263" w14:textId="77777777" w:rsidR="004A2404" w:rsidRPr="00834834" w:rsidRDefault="004A2404" w:rsidP="0039221D">
            <w:pPr>
              <w:pStyle w:val="Heading2"/>
            </w:pPr>
            <w:r w:rsidRPr="00834834">
              <w:t>SECTION I</w:t>
            </w:r>
          </w:p>
          <w:p w14:paraId="58A2CA1A" w14:textId="25A1AC04" w:rsidR="004A2404" w:rsidRPr="00834834" w:rsidRDefault="00154774" w:rsidP="0039221D">
            <w:pPr>
              <w:pStyle w:val="Heading2"/>
            </w:pPr>
            <w:r w:rsidRPr="00834834">
              <w:t>ÉTABLISSEMENT DU BUDGET</w:t>
            </w:r>
          </w:p>
          <w:p w14:paraId="783034FD" w14:textId="1759AF37" w:rsidR="004E6868" w:rsidRPr="00834834" w:rsidRDefault="004A2404" w:rsidP="00D4573A">
            <w:pPr>
              <w:pStyle w:val="Subtitle"/>
              <w:rPr>
                <w:lang w:val="fr-BE"/>
              </w:rPr>
            </w:pPr>
            <w:r w:rsidRPr="00834834">
              <w:rPr>
                <w:lang w:val="fr-BE"/>
              </w:rPr>
              <w:t>Article</w:t>
            </w:r>
            <w:r w:rsidR="00D0034C" w:rsidRPr="00834834">
              <w:rPr>
                <w:lang w:val="fr-BE"/>
              </w:rPr>
              <w:t> </w:t>
            </w:r>
            <w:r w:rsidRPr="00834834">
              <w:rPr>
                <w:lang w:val="fr-BE"/>
              </w:rPr>
              <w:t>20</w:t>
            </w:r>
          </w:p>
          <w:p w14:paraId="391F8F0C" w14:textId="35923744" w:rsidR="00790817" w:rsidRPr="00834834" w:rsidRDefault="00EC4AD0" w:rsidP="00D4573A">
            <w:pPr>
              <w:pStyle w:val="Subtitle"/>
              <w:rPr>
                <w:lang w:val="fr-BE"/>
              </w:rPr>
            </w:pPr>
            <w:r w:rsidRPr="00834834">
              <w:rPr>
                <w:lang w:val="fr-BE"/>
              </w:rPr>
              <w:t xml:space="preserve">Projets de budget des Écoles et </w:t>
            </w:r>
            <w:r w:rsidRPr="00834834">
              <w:rPr>
                <w:bCs/>
                <w:lang w:val="fr-BE"/>
              </w:rPr>
              <w:t>du</w:t>
            </w:r>
            <w:r w:rsidRPr="00834834">
              <w:rPr>
                <w:lang w:val="fr-BE"/>
              </w:rPr>
              <w:t xml:space="preserve"> Bureau du Secrétaire général</w:t>
            </w:r>
          </w:p>
          <w:p w14:paraId="42C9031A" w14:textId="77777777" w:rsidR="007A22C1" w:rsidRPr="00834834" w:rsidRDefault="004A2404" w:rsidP="00ED4F09">
            <w:pPr>
              <w:pStyle w:val="ListParagraph"/>
              <w:numPr>
                <w:ilvl w:val="0"/>
                <w:numId w:val="21"/>
              </w:numPr>
            </w:pPr>
            <w:r w:rsidRPr="00834834">
              <w:t>L</w:t>
            </w:r>
            <w:r w:rsidR="00D0034C" w:rsidRPr="00834834">
              <w:t>’</w:t>
            </w:r>
            <w:r w:rsidRPr="00834834">
              <w:t xml:space="preserve">ordonnateur des Écoles européennes établit chaque année un projet de budget de trésorerie pour les Écoles et pour le Bureau du Secrétaire général pour le 28 février au plus tard. </w:t>
            </w:r>
          </w:p>
          <w:p w14:paraId="428B1132" w14:textId="77777777" w:rsidR="007A22C1" w:rsidRPr="00834834" w:rsidRDefault="004A2404" w:rsidP="00ED4F09">
            <w:pPr>
              <w:pStyle w:val="ListParagraph"/>
              <w:numPr>
                <w:ilvl w:val="0"/>
                <w:numId w:val="21"/>
              </w:numPr>
            </w:pPr>
            <w:r w:rsidRPr="00834834">
              <w:t>À cette fin, les ordonnateurs responsables dressent, au plus tard à la fin janvier de chaque année, un état prévisionnel des dépenses et recettes de l</w:t>
            </w:r>
            <w:r w:rsidR="00D0034C" w:rsidRPr="00834834">
              <w:t>’</w:t>
            </w:r>
            <w:r w:rsidRPr="00834834">
              <w:t>École pour la section correspondante du budget pour l</w:t>
            </w:r>
            <w:r w:rsidR="00D0034C" w:rsidRPr="00834834">
              <w:t>’</w:t>
            </w:r>
            <w:r w:rsidRPr="00834834">
              <w:t xml:space="preserve">année à venir (projet de budget). </w:t>
            </w:r>
          </w:p>
          <w:p w14:paraId="002A661B" w14:textId="1F134D59" w:rsidR="004A2404" w:rsidRPr="00834834" w:rsidRDefault="004A2404" w:rsidP="00ED4F09">
            <w:pPr>
              <w:pStyle w:val="ListParagraph"/>
              <w:numPr>
                <w:ilvl w:val="0"/>
                <w:numId w:val="21"/>
              </w:numPr>
            </w:pPr>
            <w:r w:rsidRPr="00834834">
              <w:t>Chacune des sections est précédée d</w:t>
            </w:r>
            <w:r w:rsidR="00D0034C" w:rsidRPr="00834834">
              <w:t>’</w:t>
            </w:r>
            <w:r w:rsidRPr="00834834">
              <w:t>une introduction portant sur les orientations de l</w:t>
            </w:r>
            <w:r w:rsidR="00D0034C" w:rsidRPr="00834834">
              <w:t>’</w:t>
            </w:r>
            <w:r w:rsidRPr="00834834">
              <w:t>École et mentionne :</w:t>
            </w:r>
          </w:p>
          <w:p w14:paraId="34BC5C56" w14:textId="7CF82FF1" w:rsidR="00DF31AE" w:rsidRPr="007673A5" w:rsidRDefault="00DF31AE" w:rsidP="00ED4F09">
            <w:pPr>
              <w:pStyle w:val="numbering2"/>
              <w:numPr>
                <w:ilvl w:val="0"/>
                <w:numId w:val="22"/>
              </w:numPr>
              <w:ind w:left="2153"/>
            </w:pPr>
            <w:proofErr w:type="gramStart"/>
            <w:r w:rsidRPr="007673A5">
              <w:t>la</w:t>
            </w:r>
            <w:proofErr w:type="gramEnd"/>
            <w:r w:rsidRPr="007673A5">
              <w:t xml:space="preserve"> justification des variations de crédits d’un exercice budgétaire à l’autre ;</w:t>
            </w:r>
          </w:p>
          <w:p w14:paraId="392F2CC1" w14:textId="1043413F" w:rsidR="00DF31AE" w:rsidRPr="007673A5" w:rsidRDefault="00DF31AE" w:rsidP="00ED4F09">
            <w:pPr>
              <w:pStyle w:val="numbering2"/>
              <w:numPr>
                <w:ilvl w:val="0"/>
                <w:numId w:val="22"/>
              </w:numPr>
              <w:ind w:left="2153"/>
            </w:pPr>
            <w:proofErr w:type="gramStart"/>
            <w:r w:rsidRPr="007673A5">
              <w:t>les</w:t>
            </w:r>
            <w:proofErr w:type="gramEnd"/>
            <w:r w:rsidRPr="007673A5">
              <w:t xml:space="preserve"> variations des effectifs avec un état justificatif motivant ces variations, et des informations relatives à l’équilibre hommes-femmes actuel ;</w:t>
            </w:r>
          </w:p>
          <w:p w14:paraId="51CA3ED5" w14:textId="43857BA5" w:rsidR="004A2404" w:rsidRPr="007673A5" w:rsidRDefault="004A2404" w:rsidP="00ED4F09">
            <w:pPr>
              <w:pStyle w:val="numbering2"/>
              <w:numPr>
                <w:ilvl w:val="0"/>
                <w:numId w:val="22"/>
              </w:numPr>
              <w:ind w:left="2153"/>
            </w:pPr>
            <w:proofErr w:type="gramStart"/>
            <w:r w:rsidRPr="007673A5">
              <w:t>les</w:t>
            </w:r>
            <w:proofErr w:type="gramEnd"/>
            <w:r w:rsidRPr="007673A5">
              <w:t xml:space="preserve"> variations prévisibles de la population scolaire ;</w:t>
            </w:r>
          </w:p>
          <w:p w14:paraId="56D94A78" w14:textId="0CE89AA6" w:rsidR="004A2404" w:rsidRPr="007673A5" w:rsidRDefault="004A2404" w:rsidP="00ED4F09">
            <w:pPr>
              <w:pStyle w:val="numbering2"/>
              <w:numPr>
                <w:ilvl w:val="0"/>
                <w:numId w:val="22"/>
              </w:numPr>
              <w:ind w:left="2153"/>
            </w:pPr>
            <w:proofErr w:type="gramStart"/>
            <w:r w:rsidRPr="007673A5">
              <w:t>les</w:t>
            </w:r>
            <w:proofErr w:type="gramEnd"/>
            <w:r w:rsidRPr="007673A5">
              <w:t xml:space="preserve"> informations disponibles sur l</w:t>
            </w:r>
            <w:r w:rsidR="00D0034C" w:rsidRPr="007673A5">
              <w:t>’</w:t>
            </w:r>
            <w:r w:rsidRPr="007673A5">
              <w:t>exécution du budget de l</w:t>
            </w:r>
            <w:r w:rsidR="00D0034C" w:rsidRPr="007673A5">
              <w:t>’</w:t>
            </w:r>
            <w:r w:rsidRPr="007673A5">
              <w:t>exercice écoulé.</w:t>
            </w:r>
          </w:p>
          <w:p w14:paraId="1D76356A" w14:textId="77777777" w:rsidR="007A22C1" w:rsidRPr="00834834" w:rsidRDefault="00DF31AE" w:rsidP="00D4573A">
            <w:pPr>
              <w:rPr>
                <w:lang w:val="fr-BE"/>
              </w:rPr>
            </w:pPr>
            <w:r w:rsidRPr="00834834">
              <w:rPr>
                <w:lang w:val="fr-BE"/>
              </w:rPr>
              <w:t>À ces fins, les chiffres donnés pour les crédits, les effectifs et les élèves incluent des informations différenciées sur :</w:t>
            </w:r>
          </w:p>
          <w:p w14:paraId="6DCFB9CD" w14:textId="77777777" w:rsidR="007A22C1" w:rsidRPr="00834834" w:rsidRDefault="00DF31AE" w:rsidP="00ED4F09">
            <w:pPr>
              <w:pStyle w:val="numbering2"/>
              <w:numPr>
                <w:ilvl w:val="0"/>
                <w:numId w:val="23"/>
              </w:numPr>
              <w:ind w:left="2153"/>
              <w:rPr>
                <w:rFonts w:eastAsia="Calibri"/>
              </w:rPr>
            </w:pPr>
            <w:proofErr w:type="gramStart"/>
            <w:r w:rsidRPr="00834834">
              <w:rPr>
                <w:rFonts w:eastAsia="Calibri"/>
              </w:rPr>
              <w:t>les</w:t>
            </w:r>
            <w:proofErr w:type="gramEnd"/>
            <w:r w:rsidRPr="00834834">
              <w:rPr>
                <w:rFonts w:eastAsia="Calibri"/>
              </w:rPr>
              <w:t xml:space="preserve"> chiffres actuels, qui résultent du budget approuvé précédent ;</w:t>
            </w:r>
          </w:p>
          <w:p w14:paraId="7725EBFB" w14:textId="77777777" w:rsidR="007A22C1" w:rsidRPr="00834834" w:rsidRDefault="00DF31AE" w:rsidP="00ED4F09">
            <w:pPr>
              <w:pStyle w:val="numbering2"/>
              <w:numPr>
                <w:ilvl w:val="0"/>
                <w:numId w:val="23"/>
              </w:numPr>
              <w:ind w:left="2153"/>
              <w:rPr>
                <w:rFonts w:eastAsia="Calibri"/>
              </w:rPr>
            </w:pPr>
            <w:proofErr w:type="gramStart"/>
            <w:r w:rsidRPr="00834834">
              <w:rPr>
                <w:rFonts w:eastAsia="Calibri"/>
              </w:rPr>
              <w:t>les</w:t>
            </w:r>
            <w:proofErr w:type="gramEnd"/>
            <w:r w:rsidRPr="00834834">
              <w:rPr>
                <w:rFonts w:eastAsia="Calibri"/>
              </w:rPr>
              <w:t xml:space="preserve"> modifications proposées pour l’exercice financier suivant ;</w:t>
            </w:r>
          </w:p>
          <w:p w14:paraId="305CCCE6" w14:textId="6CCC5D58" w:rsidR="00DF31AE" w:rsidRPr="00834834" w:rsidRDefault="00DF31AE" w:rsidP="00ED4F09">
            <w:pPr>
              <w:pStyle w:val="numbering2"/>
              <w:numPr>
                <w:ilvl w:val="0"/>
                <w:numId w:val="23"/>
              </w:numPr>
              <w:ind w:left="2153"/>
              <w:rPr>
                <w:rFonts w:eastAsia="Calibri"/>
              </w:rPr>
            </w:pPr>
            <w:proofErr w:type="gramStart"/>
            <w:r w:rsidRPr="00834834">
              <w:rPr>
                <w:rFonts w:eastAsia="Calibri"/>
              </w:rPr>
              <w:t>les</w:t>
            </w:r>
            <w:proofErr w:type="gramEnd"/>
            <w:r w:rsidRPr="00834834">
              <w:rPr>
                <w:rFonts w:eastAsia="Calibri"/>
              </w:rPr>
              <w:t xml:space="preserve"> chiffres consolidés, comprenant les chiffres actuels et les modifications proposées.</w:t>
            </w:r>
          </w:p>
          <w:p w14:paraId="690AB64F" w14:textId="59095D28" w:rsidR="004A2404" w:rsidRPr="007673A5" w:rsidRDefault="004A2404" w:rsidP="00ED4F09">
            <w:pPr>
              <w:pStyle w:val="ListParagraph"/>
              <w:numPr>
                <w:ilvl w:val="0"/>
                <w:numId w:val="21"/>
              </w:numPr>
            </w:pPr>
            <w:r w:rsidRPr="007673A5">
              <w:t>Le Conseil d</w:t>
            </w:r>
            <w:r w:rsidR="00D0034C" w:rsidRPr="007673A5">
              <w:t>’</w:t>
            </w:r>
            <w:r w:rsidRPr="007673A5">
              <w:t>administration de chaque École approuve le projet de budget correspondant au plus tard le 15 février et le transmet à l</w:t>
            </w:r>
            <w:r w:rsidR="00D0034C" w:rsidRPr="007673A5">
              <w:t>’</w:t>
            </w:r>
            <w:r w:rsidRPr="007673A5">
              <w:t>ordonnateur des Écoles européennes pour que celui-ci procède à la consolidation des projets de budget des Écoles européennes au plus tard le 28 février, en tenant compte des éventuelles modifications décidées par les Conseils d</w:t>
            </w:r>
            <w:r w:rsidR="00D0034C" w:rsidRPr="007673A5">
              <w:t>’</w:t>
            </w:r>
            <w:r w:rsidRPr="007673A5">
              <w:t xml:space="preserve">administration. </w:t>
            </w:r>
          </w:p>
          <w:p w14:paraId="5B00D0EF" w14:textId="33BB8624" w:rsidR="004E6868" w:rsidRPr="00834834" w:rsidRDefault="004A2404" w:rsidP="00D4573A">
            <w:pPr>
              <w:pStyle w:val="Subtitle"/>
              <w:rPr>
                <w:lang w:val="fr-BE"/>
              </w:rPr>
            </w:pPr>
            <w:r w:rsidRPr="00834834">
              <w:rPr>
                <w:lang w:val="fr-BE"/>
              </w:rPr>
              <w:t>Article</w:t>
            </w:r>
            <w:r w:rsidR="00D0034C" w:rsidRPr="00834834">
              <w:rPr>
                <w:lang w:val="fr-BE"/>
              </w:rPr>
              <w:t> </w:t>
            </w:r>
            <w:r w:rsidRPr="00834834">
              <w:rPr>
                <w:lang w:val="fr-BE"/>
              </w:rPr>
              <w:t xml:space="preserve">21 </w:t>
            </w:r>
          </w:p>
          <w:p w14:paraId="269D67DC" w14:textId="1FAE8649" w:rsidR="00790817" w:rsidRPr="00834834" w:rsidRDefault="00EC4AD0" w:rsidP="00D4573A">
            <w:pPr>
              <w:pStyle w:val="Subtitle"/>
              <w:rPr>
                <w:lang w:val="fr-BE"/>
              </w:rPr>
            </w:pPr>
            <w:r w:rsidRPr="00834834">
              <w:rPr>
                <w:lang w:val="fr-BE"/>
              </w:rPr>
              <w:t>Projet de budget consolidé</w:t>
            </w:r>
          </w:p>
          <w:p w14:paraId="09D01D4E" w14:textId="486C733B" w:rsidR="00790817" w:rsidRPr="00834834" w:rsidRDefault="004A2404" w:rsidP="00D4573A">
            <w:pPr>
              <w:rPr>
                <w:lang w:val="fr-BE"/>
              </w:rPr>
            </w:pPr>
            <w:r w:rsidRPr="00834834">
              <w:rPr>
                <w:lang w:val="fr-BE"/>
              </w:rPr>
              <w:t xml:space="preserve">Le projet de budget </w:t>
            </w:r>
            <w:r w:rsidR="00DF31AE" w:rsidRPr="00834834">
              <w:rPr>
                <w:lang w:val="fr-BE"/>
              </w:rPr>
              <w:t xml:space="preserve">consolidé </w:t>
            </w:r>
            <w:r w:rsidRPr="00834834">
              <w:rPr>
                <w:lang w:val="fr-BE"/>
              </w:rPr>
              <w:t>des Écoles européennes est présenté au Conseil supérieur le 31 mars de chaque année au plus tard et :</w:t>
            </w:r>
          </w:p>
          <w:p w14:paraId="5BD51AC8" w14:textId="1FA44A66" w:rsidR="004A2404" w:rsidRPr="00D4573A" w:rsidRDefault="004A2404" w:rsidP="00ED4F09">
            <w:pPr>
              <w:pStyle w:val="numbering2"/>
              <w:numPr>
                <w:ilvl w:val="0"/>
                <w:numId w:val="24"/>
              </w:numPr>
              <w:ind w:left="2153"/>
            </w:pPr>
            <w:proofErr w:type="gramStart"/>
            <w:r w:rsidRPr="00D4573A">
              <w:t>groupe</w:t>
            </w:r>
            <w:proofErr w:type="gramEnd"/>
            <w:r w:rsidRPr="00D4573A">
              <w:t>, suivant une nomenclature uniforme, les projets de budget visés à l</w:t>
            </w:r>
            <w:r w:rsidR="00D0034C" w:rsidRPr="00D4573A">
              <w:t>’</w:t>
            </w:r>
            <w:r w:rsidRPr="00D4573A">
              <w:t>article 20, paragraphe 4 ;</w:t>
            </w:r>
          </w:p>
          <w:p w14:paraId="61B7627F" w14:textId="75288F81" w:rsidR="007A22C1" w:rsidRPr="00D4573A" w:rsidRDefault="004A2404" w:rsidP="00ED4F09">
            <w:pPr>
              <w:pStyle w:val="numbering2"/>
              <w:numPr>
                <w:ilvl w:val="0"/>
                <w:numId w:val="24"/>
              </w:numPr>
              <w:ind w:left="2153"/>
            </w:pPr>
            <w:proofErr w:type="gramStart"/>
            <w:r w:rsidRPr="00D4573A">
              <w:t>joint</w:t>
            </w:r>
            <w:proofErr w:type="gramEnd"/>
            <w:r w:rsidRPr="00D4573A">
              <w:t xml:space="preserve"> un avis sur les états prévisionnels pouvant comporter des prévisions divergentes, dûment motivées ;</w:t>
            </w:r>
          </w:p>
          <w:p w14:paraId="3FB53333" w14:textId="77777777" w:rsidR="007A22C1" w:rsidRPr="007673A5" w:rsidRDefault="00DF31AE" w:rsidP="00ED4F09">
            <w:pPr>
              <w:pStyle w:val="numbering2"/>
              <w:numPr>
                <w:ilvl w:val="0"/>
                <w:numId w:val="24"/>
              </w:numPr>
              <w:ind w:left="2153"/>
            </w:pPr>
            <w:proofErr w:type="gramStart"/>
            <w:r w:rsidRPr="007673A5">
              <w:lastRenderedPageBreak/>
              <w:t>inclut</w:t>
            </w:r>
            <w:proofErr w:type="gramEnd"/>
            <w:r w:rsidRPr="007673A5">
              <w:t xml:space="preserve"> une présentation des variations des effectifs avec un état justificatif motivant ces variations, et des informations relatives à l’équilibre hommes-femmes actuel. </w:t>
            </w:r>
          </w:p>
          <w:p w14:paraId="532048D1" w14:textId="62110356" w:rsidR="00DF31AE" w:rsidRPr="007673A5" w:rsidRDefault="004A2404" w:rsidP="00ED4F09">
            <w:pPr>
              <w:pStyle w:val="numbering2"/>
              <w:numPr>
                <w:ilvl w:val="0"/>
                <w:numId w:val="24"/>
              </w:numPr>
              <w:ind w:left="2153"/>
            </w:pPr>
            <w:proofErr w:type="gramStart"/>
            <w:r w:rsidRPr="007673A5">
              <w:t>établit</w:t>
            </w:r>
            <w:proofErr w:type="gramEnd"/>
            <w:r w:rsidRPr="007673A5">
              <w:t xml:space="preserve"> l</w:t>
            </w:r>
            <w:r w:rsidR="00D0034C" w:rsidRPr="007673A5">
              <w:t>’</w:t>
            </w:r>
            <w:r w:rsidRPr="007673A5">
              <w:t>introduction générale à l</w:t>
            </w:r>
            <w:r w:rsidR="00D0034C" w:rsidRPr="007673A5">
              <w:t>’</w:t>
            </w:r>
            <w:r w:rsidRPr="007673A5">
              <w:t>avant-projet de budget, comportant notamment des tableaux financiers de l</w:t>
            </w:r>
            <w:r w:rsidR="00D0034C" w:rsidRPr="007673A5">
              <w:t>’</w:t>
            </w:r>
            <w:r w:rsidR="00DF31AE" w:rsidRPr="007673A5">
              <w:t>ensemble du budget et les justifications des modifications apportées aux crédits d’un exercice à l’autre par sections et chapitres.</w:t>
            </w:r>
          </w:p>
          <w:p w14:paraId="0F4A1111" w14:textId="77777777" w:rsidR="00DF31AE" w:rsidRPr="00834834" w:rsidRDefault="00DF31AE" w:rsidP="00D4573A">
            <w:pPr>
              <w:rPr>
                <w:lang w:val="fr-BE"/>
              </w:rPr>
            </w:pPr>
            <w:r w:rsidRPr="00834834">
              <w:rPr>
                <w:lang w:val="fr-BE"/>
              </w:rPr>
              <w:t>À ces fins, les chiffres relatifs aux crédits, aux effectifs et aux élèves, incluent des informations différenciées concernant :</w:t>
            </w:r>
          </w:p>
          <w:p w14:paraId="5E8EF6DA" w14:textId="1A5E9833" w:rsidR="00DF31AE" w:rsidRPr="00834834" w:rsidRDefault="00DF31AE" w:rsidP="00ED4F09">
            <w:pPr>
              <w:pStyle w:val="numbering2"/>
              <w:numPr>
                <w:ilvl w:val="0"/>
                <w:numId w:val="25"/>
              </w:numPr>
              <w:ind w:left="2153"/>
            </w:pPr>
            <w:proofErr w:type="gramStart"/>
            <w:r w:rsidRPr="00834834">
              <w:t>les</w:t>
            </w:r>
            <w:proofErr w:type="gramEnd"/>
            <w:r w:rsidRPr="00834834">
              <w:t xml:space="preserve"> chiffres actuels, qui résultent du budget approuvé précédent ;</w:t>
            </w:r>
          </w:p>
          <w:p w14:paraId="5137E285" w14:textId="3A0196BF" w:rsidR="00DF31AE" w:rsidRPr="00834834" w:rsidRDefault="00DF31AE" w:rsidP="00ED4F09">
            <w:pPr>
              <w:pStyle w:val="numbering2"/>
              <w:numPr>
                <w:ilvl w:val="0"/>
                <w:numId w:val="25"/>
              </w:numPr>
              <w:ind w:left="2153"/>
            </w:pPr>
            <w:proofErr w:type="gramStart"/>
            <w:r w:rsidRPr="00834834">
              <w:t>les</w:t>
            </w:r>
            <w:proofErr w:type="gramEnd"/>
            <w:r w:rsidRPr="00834834">
              <w:t xml:space="preserve"> modifications proposées pour l’exercice financier suivant ;</w:t>
            </w:r>
          </w:p>
          <w:p w14:paraId="2D5CDFC5" w14:textId="6A00FC65" w:rsidR="004A2404" w:rsidRPr="00834834" w:rsidRDefault="00DF31AE" w:rsidP="00ED4F09">
            <w:pPr>
              <w:pStyle w:val="numbering2"/>
              <w:numPr>
                <w:ilvl w:val="0"/>
                <w:numId w:val="25"/>
              </w:numPr>
              <w:ind w:left="2153"/>
            </w:pPr>
            <w:proofErr w:type="gramStart"/>
            <w:r w:rsidRPr="00834834">
              <w:t>les</w:t>
            </w:r>
            <w:proofErr w:type="gramEnd"/>
            <w:r w:rsidRPr="00834834">
              <w:t xml:space="preserve"> chiffres consolidés, incluant à la fois les chiffres actuels et les modifications proposées.</w:t>
            </w:r>
          </w:p>
          <w:p w14:paraId="5F0158AA" w14:textId="34B43A62" w:rsidR="004A2404" w:rsidRPr="00834834" w:rsidRDefault="004A2404" w:rsidP="00D4573A">
            <w:pPr>
              <w:pStyle w:val="Subtitle"/>
              <w:rPr>
                <w:strike/>
                <w:lang w:val="fr-BE"/>
              </w:rPr>
            </w:pPr>
            <w:r w:rsidRPr="00834834">
              <w:rPr>
                <w:lang w:val="fr-BE"/>
              </w:rPr>
              <w:t>Article</w:t>
            </w:r>
            <w:r w:rsidR="00D0034C" w:rsidRPr="00834834">
              <w:rPr>
                <w:lang w:val="fr-BE"/>
              </w:rPr>
              <w:t> </w:t>
            </w:r>
            <w:r w:rsidRPr="00834834">
              <w:rPr>
                <w:lang w:val="fr-BE"/>
              </w:rPr>
              <w:t>22</w:t>
            </w:r>
          </w:p>
          <w:p w14:paraId="64EB0B37" w14:textId="1582B256" w:rsidR="00790817" w:rsidRPr="00834834" w:rsidRDefault="00EC4AD0" w:rsidP="00D4573A">
            <w:pPr>
              <w:pStyle w:val="Subtitle"/>
              <w:rPr>
                <w:sz w:val="24"/>
                <w:szCs w:val="24"/>
                <w:lang w:val="fr-BE"/>
              </w:rPr>
            </w:pPr>
            <w:r w:rsidRPr="00834834">
              <w:rPr>
                <w:sz w:val="24"/>
                <w:szCs w:val="24"/>
                <w:lang w:val="fr-BE"/>
              </w:rPr>
              <w:t>Approbation du projet de budget consolidé</w:t>
            </w:r>
          </w:p>
          <w:p w14:paraId="6767D2BE" w14:textId="4C234D89" w:rsidR="004A2404" w:rsidRPr="00834834" w:rsidRDefault="006221B5" w:rsidP="00D4573A">
            <w:pPr>
              <w:rPr>
                <w:rFonts w:asciiTheme="minorHAnsi" w:hAnsiTheme="minorHAnsi" w:cstheme="minorHAnsi"/>
                <w:b/>
                <w:u w:val="single"/>
                <w:lang w:val="fr-BE"/>
              </w:rPr>
            </w:pPr>
            <w:r w:rsidRPr="00834834">
              <w:rPr>
                <w:lang w:val="fr-BE"/>
              </w:rPr>
              <w:t>À la suite de son examen par le Comité visé à l</w:t>
            </w:r>
            <w:r w:rsidR="00D0034C" w:rsidRPr="00834834">
              <w:rPr>
                <w:lang w:val="fr-BE"/>
              </w:rPr>
              <w:t>’</w:t>
            </w:r>
            <w:r w:rsidRPr="00834834">
              <w:rPr>
                <w:lang w:val="fr-BE"/>
              </w:rPr>
              <w:t>article 97, le Conseil supérieur adopte le projet de budget consolidé des Écoles européennes au plus tard le 19 avril et le transmet à la Commission européenne ainsi qu</w:t>
            </w:r>
            <w:r w:rsidR="00D0034C" w:rsidRPr="00834834">
              <w:rPr>
                <w:lang w:val="fr-BE"/>
              </w:rPr>
              <w:t>’</w:t>
            </w:r>
            <w:r w:rsidRPr="00834834">
              <w:rPr>
                <w:lang w:val="fr-BE"/>
              </w:rPr>
              <w:t>à l</w:t>
            </w:r>
            <w:r w:rsidR="00D0034C" w:rsidRPr="00834834">
              <w:rPr>
                <w:lang w:val="fr-BE"/>
              </w:rPr>
              <w:t>’</w:t>
            </w:r>
            <w:r w:rsidR="001957A8" w:rsidRPr="00834834">
              <w:rPr>
                <w:lang w:val="fr-BE"/>
              </w:rPr>
              <w:t>Office européen des brevets aux fins de l’établissement, sur ces bases, des prévisionnels appropriés dans les avant-projets de budget correspondants.</w:t>
            </w:r>
          </w:p>
          <w:p w14:paraId="150CAD46" w14:textId="20BAAE0F" w:rsidR="004A2404" w:rsidRPr="00834834" w:rsidRDefault="004A2404" w:rsidP="00D4573A">
            <w:pPr>
              <w:pStyle w:val="Subtitle"/>
              <w:rPr>
                <w:lang w:val="fr-BE"/>
              </w:rPr>
            </w:pPr>
            <w:r w:rsidRPr="00834834">
              <w:rPr>
                <w:lang w:val="fr-BE"/>
              </w:rPr>
              <w:t>Article</w:t>
            </w:r>
            <w:r w:rsidR="00D0034C" w:rsidRPr="00834834">
              <w:rPr>
                <w:lang w:val="fr-BE"/>
              </w:rPr>
              <w:t> </w:t>
            </w:r>
            <w:r w:rsidRPr="00834834">
              <w:rPr>
                <w:lang w:val="fr-BE"/>
              </w:rPr>
              <w:t>23</w:t>
            </w:r>
          </w:p>
          <w:p w14:paraId="22601FA3" w14:textId="77777777" w:rsidR="00EC4AD0" w:rsidRPr="00834834" w:rsidRDefault="006221B5" w:rsidP="00D4573A">
            <w:pPr>
              <w:pStyle w:val="Subtitle"/>
              <w:rPr>
                <w:lang w:val="fr-BE"/>
              </w:rPr>
            </w:pPr>
            <w:r w:rsidRPr="00834834">
              <w:rPr>
                <w:lang w:val="fr-BE"/>
              </w:rPr>
              <w:t>Adoption du budget par les parties contractantes</w:t>
            </w:r>
          </w:p>
          <w:p w14:paraId="5CAA7572" w14:textId="0210263F" w:rsidR="004A2404" w:rsidRPr="00834834" w:rsidRDefault="00552360" w:rsidP="00ED4F09">
            <w:pPr>
              <w:pStyle w:val="ListParagraph"/>
              <w:numPr>
                <w:ilvl w:val="0"/>
                <w:numId w:val="26"/>
              </w:numPr>
            </w:pPr>
            <w:r w:rsidRPr="00834834">
              <w:t>Dans la semaine suivant la fin de leur propre procédure budgétaire, la Commission européenne ainsi que l</w:t>
            </w:r>
            <w:r w:rsidR="00D0034C" w:rsidRPr="00834834">
              <w:t>’</w:t>
            </w:r>
            <w:r w:rsidRPr="00834834">
              <w:t xml:space="preserve">Office européen des brevets communiquent le montant de leurs contributions. </w:t>
            </w:r>
          </w:p>
          <w:p w14:paraId="430F494A" w14:textId="77777777" w:rsidR="001957A8" w:rsidRPr="00834834" w:rsidRDefault="004A2404" w:rsidP="00ED4F09">
            <w:pPr>
              <w:pStyle w:val="ListParagraph"/>
              <w:numPr>
                <w:ilvl w:val="0"/>
                <w:numId w:val="26"/>
              </w:numPr>
            </w:pPr>
            <w:r w:rsidRPr="00834834">
              <w:rPr>
                <w:bCs/>
              </w:rPr>
              <w:t>Si le montant des contributions communiquées par les organisations visées au paragraphe 1 est identique à celui prévu au projet de budget conformément à l</w:t>
            </w:r>
            <w:r w:rsidR="00D0034C" w:rsidRPr="00834834">
              <w:rPr>
                <w:bCs/>
              </w:rPr>
              <w:t>’</w:t>
            </w:r>
            <w:r w:rsidRPr="00834834">
              <w:rPr>
                <w:bCs/>
              </w:rPr>
              <w:t xml:space="preserve">article 21, le budget est réputé arrêté. </w:t>
            </w:r>
          </w:p>
          <w:p w14:paraId="507587EF" w14:textId="7A059418" w:rsidR="004A2404" w:rsidRPr="00834834" w:rsidRDefault="004A2404" w:rsidP="00ED4F09">
            <w:pPr>
              <w:pStyle w:val="ListParagraph"/>
              <w:numPr>
                <w:ilvl w:val="0"/>
                <w:numId w:val="26"/>
              </w:numPr>
            </w:pPr>
            <w:r w:rsidRPr="00834834">
              <w:rPr>
                <w:bCs/>
              </w:rPr>
              <w:t>Si le montant des contributions provenant des organisations visées au paragraphe 1 est différent du montant inscrit au projet de budget consolidé, le Conseil supérieur, à l</w:t>
            </w:r>
            <w:r w:rsidR="00D0034C" w:rsidRPr="00834834">
              <w:rPr>
                <w:bCs/>
              </w:rPr>
              <w:t>’</w:t>
            </w:r>
            <w:r w:rsidRPr="00834834">
              <w:rPr>
                <w:bCs/>
              </w:rPr>
              <w:t>initiative de l</w:t>
            </w:r>
            <w:r w:rsidR="00D0034C" w:rsidRPr="00834834">
              <w:rPr>
                <w:bCs/>
              </w:rPr>
              <w:t>’</w:t>
            </w:r>
            <w:r w:rsidRPr="00834834">
              <w:rPr>
                <w:bCs/>
              </w:rPr>
              <w:t xml:space="preserve">ordonnateur des Écoles européennes, prend les mesures </w:t>
            </w:r>
            <w:r w:rsidR="001957A8" w:rsidRPr="00834834">
              <w:rPr>
                <w:bCs/>
              </w:rPr>
              <w:t>appropriées et arrête le budget avant le début de l’exercice concerné.</w:t>
            </w:r>
          </w:p>
          <w:p w14:paraId="18854363" w14:textId="66F238BA" w:rsidR="009B385A" w:rsidRPr="00834834" w:rsidRDefault="00552360" w:rsidP="00ED4F09">
            <w:pPr>
              <w:pStyle w:val="ListParagraph"/>
              <w:numPr>
                <w:ilvl w:val="0"/>
                <w:numId w:val="26"/>
              </w:numPr>
            </w:pPr>
            <w:r w:rsidRPr="00834834">
              <w:rPr>
                <w:bCs/>
              </w:rPr>
              <w:t>L</w:t>
            </w:r>
            <w:r w:rsidR="00D0034C" w:rsidRPr="00834834">
              <w:rPr>
                <w:bCs/>
              </w:rPr>
              <w:t>’</w:t>
            </w:r>
            <w:r w:rsidRPr="00834834">
              <w:rPr>
                <w:bCs/>
              </w:rPr>
              <w:t>arrêt du budget entraîne l</w:t>
            </w:r>
            <w:r w:rsidR="00D0034C" w:rsidRPr="00834834">
              <w:rPr>
                <w:bCs/>
              </w:rPr>
              <w:t>’</w:t>
            </w:r>
            <w:r w:rsidRPr="00834834">
              <w:rPr>
                <w:bCs/>
              </w:rPr>
              <w:t>obligation pour les parties contractantes visées à l’article 25 de la Convention portant Statut des Écoles européennes</w:t>
            </w:r>
            <w:r w:rsidRPr="00834834">
              <w:t>, ainsi que pour les organisations visées au paragraphe 1, de mettre à la disposition des Écoles les versements et/ou les prestations dus dans les délais nécessaires.</w:t>
            </w:r>
          </w:p>
          <w:p w14:paraId="5F134BA7" w14:textId="52EE72E5" w:rsidR="00EC4AD0" w:rsidRPr="00834834" w:rsidRDefault="004A2404" w:rsidP="00D4573A">
            <w:pPr>
              <w:pStyle w:val="Subtitle"/>
              <w:rPr>
                <w:strike/>
                <w:lang w:val="fr-BE"/>
              </w:rPr>
            </w:pPr>
            <w:r w:rsidRPr="00834834">
              <w:rPr>
                <w:lang w:val="fr-BE"/>
              </w:rPr>
              <w:t>Article</w:t>
            </w:r>
            <w:r w:rsidR="00D0034C" w:rsidRPr="00834834">
              <w:rPr>
                <w:lang w:val="fr-BE"/>
              </w:rPr>
              <w:t> </w:t>
            </w:r>
            <w:r w:rsidRPr="00834834">
              <w:rPr>
                <w:lang w:val="fr-BE"/>
              </w:rPr>
              <w:t>24</w:t>
            </w:r>
          </w:p>
          <w:p w14:paraId="024A2CB3" w14:textId="77777777" w:rsidR="00EC4AD0" w:rsidRPr="00834834" w:rsidRDefault="00EC4AD0" w:rsidP="00D4573A">
            <w:pPr>
              <w:pStyle w:val="Subtitle"/>
              <w:rPr>
                <w:lang w:val="fr-BE"/>
              </w:rPr>
            </w:pPr>
            <w:r w:rsidRPr="00834834">
              <w:rPr>
                <w:lang w:val="fr-BE"/>
              </w:rPr>
              <w:t>Budgets rectificatifs</w:t>
            </w:r>
          </w:p>
          <w:p w14:paraId="72A17922" w14:textId="6AC04077" w:rsidR="004A2404" w:rsidRPr="00834834" w:rsidRDefault="004A2404" w:rsidP="00ED4F09">
            <w:pPr>
              <w:pStyle w:val="ListParagraph"/>
              <w:numPr>
                <w:ilvl w:val="0"/>
                <w:numId w:val="27"/>
              </w:numPr>
            </w:pPr>
            <w:r w:rsidRPr="00834834">
              <w:t>En cas de circonstances inévitables, exceptionnelles ou imprévues, l</w:t>
            </w:r>
            <w:r w:rsidR="00D0034C" w:rsidRPr="00834834">
              <w:t>’</w:t>
            </w:r>
            <w:r w:rsidRPr="00834834">
              <w:t xml:space="preserve">ordonnateur des Écoles européennes peut présenter un projet de budget rectificatif. </w:t>
            </w:r>
          </w:p>
          <w:p w14:paraId="37B110B4" w14:textId="0AD2C728" w:rsidR="004A2404" w:rsidRPr="00834834" w:rsidRDefault="004A2404" w:rsidP="00ED4F09">
            <w:pPr>
              <w:pStyle w:val="ListParagraph"/>
              <w:numPr>
                <w:ilvl w:val="0"/>
                <w:numId w:val="27"/>
              </w:numPr>
            </w:pPr>
            <w:r w:rsidRPr="00834834">
              <w:rPr>
                <w:bCs/>
              </w:rPr>
              <w:t xml:space="preserve">Le projet de budget rectificatif </w:t>
            </w:r>
            <w:r w:rsidRPr="00834834">
              <w:t xml:space="preserve">est traité selon la même forme et la même procédure que le projet de budget dont il modifie les prévisions. Il doit être justifié par référence à ce dernier. </w:t>
            </w:r>
          </w:p>
          <w:p w14:paraId="41D09568" w14:textId="739B8CC4" w:rsidR="00790817" w:rsidRPr="00834834" w:rsidRDefault="004A2404" w:rsidP="00ED4F09">
            <w:pPr>
              <w:pStyle w:val="ListParagraph"/>
              <w:numPr>
                <w:ilvl w:val="0"/>
                <w:numId w:val="27"/>
              </w:numPr>
            </w:pPr>
            <w:r w:rsidRPr="00834834">
              <w:rPr>
                <w:bCs/>
              </w:rPr>
              <w:t>Le projet de budget rectificatif doit être adopté par le Conseil supérieur le 15 novembre de l</w:t>
            </w:r>
            <w:r w:rsidR="00D0034C" w:rsidRPr="00834834">
              <w:rPr>
                <w:bCs/>
              </w:rPr>
              <w:t>’</w:t>
            </w:r>
            <w:r w:rsidRPr="00834834">
              <w:rPr>
                <w:bCs/>
              </w:rPr>
              <w:t xml:space="preserve">exercice concerné au plus tard. </w:t>
            </w:r>
          </w:p>
          <w:p w14:paraId="44CBDF12" w14:textId="4065C104" w:rsidR="004A2404" w:rsidRPr="00834834" w:rsidRDefault="004A2404" w:rsidP="00ED4F09">
            <w:pPr>
              <w:pStyle w:val="ListParagraph"/>
              <w:numPr>
                <w:ilvl w:val="0"/>
                <w:numId w:val="27"/>
              </w:numPr>
            </w:pPr>
            <w:r w:rsidRPr="00834834">
              <w:lastRenderedPageBreak/>
              <w:t>Il doit être accompagné de justifications et des informations sur l</w:t>
            </w:r>
            <w:r w:rsidR="00D0034C" w:rsidRPr="00834834">
              <w:t>’</w:t>
            </w:r>
            <w:r w:rsidRPr="00834834">
              <w:t>exécution budgétaire de l</w:t>
            </w:r>
            <w:r w:rsidR="00D0034C" w:rsidRPr="00834834">
              <w:t>’</w:t>
            </w:r>
            <w:r w:rsidRPr="00834834">
              <w:t>exercice en cours disponibles au moment de son établissement. Il est proposé en tenant compte des virements décidés jusqu</w:t>
            </w:r>
            <w:r w:rsidR="00D0034C" w:rsidRPr="00834834">
              <w:t>’</w:t>
            </w:r>
            <w:r w:rsidRPr="00834834">
              <w:t xml:space="preserve">à son établissement. </w:t>
            </w:r>
          </w:p>
          <w:p w14:paraId="5C399452" w14:textId="22F49A83" w:rsidR="004A2404" w:rsidRPr="007673A5" w:rsidRDefault="004A2404" w:rsidP="00ED4F09">
            <w:pPr>
              <w:pStyle w:val="ListParagraph"/>
              <w:numPr>
                <w:ilvl w:val="0"/>
                <w:numId w:val="27"/>
              </w:numPr>
            </w:pPr>
            <w:r w:rsidRPr="007673A5">
              <w:t>Les décisions visées au paragraphe 3 prévoient les mesures nécessaires en matière de recettes pour l</w:t>
            </w:r>
            <w:r w:rsidR="00D0034C" w:rsidRPr="007673A5">
              <w:t>’</w:t>
            </w:r>
            <w:r w:rsidRPr="007673A5">
              <w:t>application du présent article.</w:t>
            </w:r>
          </w:p>
          <w:p w14:paraId="0A6709D2" w14:textId="77777777" w:rsidR="004A2404" w:rsidRPr="00834834" w:rsidRDefault="004A2404" w:rsidP="0039221D">
            <w:pPr>
              <w:pStyle w:val="Heading2"/>
            </w:pPr>
            <w:r w:rsidRPr="00834834">
              <w:t>SECTION II</w:t>
            </w:r>
          </w:p>
          <w:p w14:paraId="2DF07DE1" w14:textId="3E964353" w:rsidR="004A2404" w:rsidRPr="00834834" w:rsidRDefault="00154774" w:rsidP="0039221D">
            <w:pPr>
              <w:pStyle w:val="Heading2"/>
            </w:pPr>
            <w:r w:rsidRPr="00834834">
              <w:t>STRUCTURE ET PRESENTATION DU BUDGET</w:t>
            </w:r>
          </w:p>
          <w:p w14:paraId="7E19EA3D" w14:textId="01B6B276" w:rsidR="003421F9" w:rsidRPr="00834834" w:rsidRDefault="00EC4AD0" w:rsidP="007673A5">
            <w:pPr>
              <w:pStyle w:val="Subtitle"/>
              <w:rPr>
                <w:lang w:val="fr-BE"/>
              </w:rPr>
            </w:pPr>
            <w:r w:rsidRPr="00834834">
              <w:rPr>
                <w:lang w:val="fr-BE"/>
              </w:rPr>
              <w:t>Article</w:t>
            </w:r>
            <w:r w:rsidR="00D0034C" w:rsidRPr="00834834">
              <w:rPr>
                <w:lang w:val="fr-BE"/>
              </w:rPr>
              <w:t> </w:t>
            </w:r>
            <w:r w:rsidRPr="00834834">
              <w:rPr>
                <w:lang w:val="fr-BE"/>
              </w:rPr>
              <w:t>25</w:t>
            </w:r>
          </w:p>
          <w:p w14:paraId="433C2DA1" w14:textId="77777777" w:rsidR="00072869" w:rsidRPr="00834834" w:rsidRDefault="00072869" w:rsidP="007673A5">
            <w:pPr>
              <w:pStyle w:val="Subtitle"/>
              <w:rPr>
                <w:strike/>
                <w:lang w:val="fr-BE"/>
              </w:rPr>
            </w:pPr>
            <w:r w:rsidRPr="00834834">
              <w:rPr>
                <w:lang w:val="fr-BE"/>
              </w:rPr>
              <w:t>Structure du budget</w:t>
            </w:r>
          </w:p>
          <w:p w14:paraId="76AF62E9" w14:textId="77777777" w:rsidR="004A2404" w:rsidRPr="00834834" w:rsidRDefault="004A2404" w:rsidP="00ED4F09">
            <w:pPr>
              <w:pStyle w:val="ListParagraph"/>
              <w:numPr>
                <w:ilvl w:val="0"/>
                <w:numId w:val="28"/>
              </w:numPr>
            </w:pPr>
            <w:r w:rsidRPr="00834834">
              <w:t>Le budget comporte :</w:t>
            </w:r>
          </w:p>
          <w:p w14:paraId="1224CA5F" w14:textId="77777777" w:rsidR="007A22C1" w:rsidRPr="007673A5" w:rsidRDefault="004A2404" w:rsidP="00ED4F09">
            <w:pPr>
              <w:pStyle w:val="numbering2"/>
              <w:numPr>
                <w:ilvl w:val="0"/>
                <w:numId w:val="29"/>
              </w:numPr>
              <w:ind w:left="2293"/>
            </w:pPr>
            <w:proofErr w:type="gramStart"/>
            <w:r w:rsidRPr="007673A5">
              <w:t>un</w:t>
            </w:r>
            <w:proofErr w:type="gramEnd"/>
            <w:r w:rsidRPr="007673A5">
              <w:t xml:space="preserve"> état général des recettes et des dépenses ainsi qu</w:t>
            </w:r>
            <w:r w:rsidR="00D0034C" w:rsidRPr="007673A5">
              <w:t>’</w:t>
            </w:r>
            <w:r w:rsidRPr="007673A5">
              <w:t>un acte de synthèse faisant apparaître l</w:t>
            </w:r>
            <w:r w:rsidR="00D0034C" w:rsidRPr="007673A5">
              <w:t>’</w:t>
            </w:r>
            <w:r w:rsidRPr="007673A5">
              <w:t>équilibre entre ces recettes et ces dépenses ;</w:t>
            </w:r>
          </w:p>
          <w:p w14:paraId="5EE4073C" w14:textId="6D7DE771" w:rsidR="004A2404" w:rsidRPr="00834834" w:rsidRDefault="004A2404" w:rsidP="007673A5">
            <w:pPr>
              <w:pStyle w:val="numbering2"/>
              <w:ind w:left="2293"/>
            </w:pPr>
            <w:proofErr w:type="gramStart"/>
            <w:r w:rsidRPr="00834834">
              <w:t>des</w:t>
            </w:r>
            <w:proofErr w:type="gramEnd"/>
            <w:r w:rsidRPr="00834834">
              <w:t xml:space="preserve"> sections indépendantes divisées en états des recettes et des dépenses de chaque École et du Bureau du Secrétaire général. </w:t>
            </w:r>
          </w:p>
          <w:p w14:paraId="6CF66628" w14:textId="09FFD7A3" w:rsidR="004A2404" w:rsidRPr="007673A5" w:rsidRDefault="004A2404" w:rsidP="00ED4F09">
            <w:pPr>
              <w:pStyle w:val="ListParagraph"/>
              <w:numPr>
                <w:ilvl w:val="0"/>
                <w:numId w:val="28"/>
              </w:numPr>
            </w:pPr>
            <w:r w:rsidRPr="007673A5">
              <w:t>À l</w:t>
            </w:r>
            <w:r w:rsidR="00D0034C" w:rsidRPr="007673A5">
              <w:t>’</w:t>
            </w:r>
            <w:r w:rsidRPr="007673A5">
              <w:t>intérieur de chaque section, les recettes et les dépenses sont classées, suivant leur nature ou leur destination, en chapitres, articles et postes.</w:t>
            </w:r>
          </w:p>
          <w:p w14:paraId="43B9F2CF" w14:textId="1F5CE078" w:rsidR="004A2404" w:rsidRPr="007673A5" w:rsidRDefault="004A2404" w:rsidP="00ED4F09">
            <w:pPr>
              <w:pStyle w:val="ListParagraph"/>
              <w:numPr>
                <w:ilvl w:val="0"/>
                <w:numId w:val="28"/>
              </w:numPr>
            </w:pPr>
            <w:r w:rsidRPr="007673A5">
              <w:t>Chaque section du budget peut comporter un chapitre «</w:t>
            </w:r>
            <w:r w:rsidR="00D0034C" w:rsidRPr="007673A5">
              <w:t> </w:t>
            </w:r>
            <w:r w:rsidRPr="007673A5">
              <w:t>réserve</w:t>
            </w:r>
            <w:r w:rsidR="00D0034C" w:rsidRPr="007673A5">
              <w:t> </w:t>
            </w:r>
            <w:r w:rsidRPr="007673A5">
              <w:t>». Les crédits de ce chapitre ne peuvent être utilisés que par voie de virement, selon la procédure prévue à l’article 10. Les crédits en réserve ne peuvent faire l</w:t>
            </w:r>
            <w:r w:rsidR="00D0034C" w:rsidRPr="007673A5">
              <w:t>’</w:t>
            </w:r>
            <w:r w:rsidRPr="007673A5">
              <w:t>objet d</w:t>
            </w:r>
            <w:r w:rsidR="00D0034C" w:rsidRPr="007673A5">
              <w:t>’</w:t>
            </w:r>
            <w:r w:rsidRPr="007673A5">
              <w:t>un report à l</w:t>
            </w:r>
            <w:r w:rsidR="00D0034C" w:rsidRPr="007673A5">
              <w:t>’</w:t>
            </w:r>
            <w:r w:rsidRPr="007673A5">
              <w:t>exercice suivant.</w:t>
            </w:r>
          </w:p>
          <w:p w14:paraId="4FA4C6CA" w14:textId="77777777" w:rsidR="00292AD4" w:rsidRPr="007673A5" w:rsidRDefault="00292AD4" w:rsidP="00ED4F09">
            <w:pPr>
              <w:pStyle w:val="ListParagraph"/>
              <w:numPr>
                <w:ilvl w:val="0"/>
                <w:numId w:val="28"/>
              </w:numPr>
            </w:pPr>
            <w:r w:rsidRPr="007673A5">
              <w:t>Le document présentant le budget contient un exposé des motifs portant sur les hypothèses de planification sous-jacentes et commentant les recettes et dépenses budgétisées.</w:t>
            </w:r>
          </w:p>
          <w:p w14:paraId="7F6B1A2E" w14:textId="7B0EF87B" w:rsidR="003421F9"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26</w:t>
            </w:r>
          </w:p>
          <w:p w14:paraId="4AD85F01" w14:textId="77777777" w:rsidR="004A2404" w:rsidRPr="00834834" w:rsidRDefault="00072869" w:rsidP="007673A5">
            <w:pPr>
              <w:pStyle w:val="Subtitle"/>
              <w:rPr>
                <w:strike/>
                <w:lang w:val="fr-BE"/>
              </w:rPr>
            </w:pPr>
            <w:r w:rsidRPr="00834834">
              <w:rPr>
                <w:lang w:val="fr-BE"/>
              </w:rPr>
              <w:t>Présentation du budget</w:t>
            </w:r>
          </w:p>
          <w:p w14:paraId="417259A9" w14:textId="77777777" w:rsidR="007A22C1" w:rsidRPr="00834834" w:rsidRDefault="004A2404" w:rsidP="007673A5">
            <w:pPr>
              <w:rPr>
                <w:lang w:val="fr-BE"/>
              </w:rPr>
            </w:pPr>
            <w:r w:rsidRPr="00834834">
              <w:rPr>
                <w:lang w:val="fr-BE"/>
              </w:rPr>
              <w:t>Le budget fait apparaître dans l</w:t>
            </w:r>
            <w:r w:rsidR="00D0034C" w:rsidRPr="00834834">
              <w:rPr>
                <w:lang w:val="fr-BE"/>
              </w:rPr>
              <w:t>’</w:t>
            </w:r>
            <w:r w:rsidRPr="00834834">
              <w:rPr>
                <w:lang w:val="fr-BE"/>
              </w:rPr>
              <w:t>état général des recettes et des dépenses et dans la section correspondant à chaque École et au Bureau du Secrétaire général :</w:t>
            </w:r>
          </w:p>
          <w:p w14:paraId="422918AA" w14:textId="4E8E2D2E" w:rsidR="004A2404" w:rsidRPr="00834834" w:rsidRDefault="004A2404" w:rsidP="00ED4F09">
            <w:pPr>
              <w:pStyle w:val="numbering2"/>
              <w:numPr>
                <w:ilvl w:val="0"/>
                <w:numId w:val="131"/>
              </w:numPr>
              <w:ind w:left="2290"/>
            </w:pPr>
            <w:r w:rsidRPr="00834834">
              <w:t>En ce qui concerne l</w:t>
            </w:r>
            <w:r w:rsidR="00D0034C" w:rsidRPr="00834834">
              <w:t>’</w:t>
            </w:r>
            <w:r w:rsidRPr="00834834">
              <w:t>état des recettes :</w:t>
            </w:r>
          </w:p>
          <w:p w14:paraId="3DA3FDF6" w14:textId="648F3D73" w:rsidR="004A2404" w:rsidRPr="00834834" w:rsidRDefault="004A2404" w:rsidP="00ED4F09">
            <w:pPr>
              <w:pStyle w:val="numbering2"/>
              <w:numPr>
                <w:ilvl w:val="0"/>
                <w:numId w:val="30"/>
              </w:numPr>
              <w:ind w:left="2293"/>
            </w:pPr>
            <w:proofErr w:type="gramStart"/>
            <w:r w:rsidRPr="00834834">
              <w:t>les</w:t>
            </w:r>
            <w:proofErr w:type="gramEnd"/>
            <w:r w:rsidRPr="00834834">
              <w:t xml:space="preserve"> recettes prévues pour l</w:t>
            </w:r>
            <w:r w:rsidR="00D0034C" w:rsidRPr="00834834">
              <w:t>’</w:t>
            </w:r>
            <w:r w:rsidRPr="00834834">
              <w:t>exercice concerné ;</w:t>
            </w:r>
          </w:p>
          <w:p w14:paraId="575295CA" w14:textId="66355D7C" w:rsidR="004A2404" w:rsidRPr="00834834" w:rsidRDefault="004A2404" w:rsidP="00ED4F09">
            <w:pPr>
              <w:pStyle w:val="numbering2"/>
              <w:numPr>
                <w:ilvl w:val="0"/>
                <w:numId w:val="30"/>
              </w:numPr>
              <w:ind w:left="2293"/>
            </w:pPr>
            <w:proofErr w:type="gramStart"/>
            <w:r w:rsidRPr="00834834">
              <w:t>les</w:t>
            </w:r>
            <w:proofErr w:type="gramEnd"/>
            <w:r w:rsidRPr="00834834">
              <w:t xml:space="preserve"> recettes inscrites au budget pour l</w:t>
            </w:r>
            <w:r w:rsidR="00D0034C" w:rsidRPr="00834834">
              <w:t>’</w:t>
            </w:r>
            <w:r w:rsidRPr="00834834">
              <w:t>exercice précédent et les recettes constatées du dernier exercice clos ;</w:t>
            </w:r>
          </w:p>
          <w:p w14:paraId="164954E8" w14:textId="575A98E6" w:rsidR="004A2404" w:rsidRPr="00834834" w:rsidRDefault="004A2404" w:rsidP="00ED4F09">
            <w:pPr>
              <w:pStyle w:val="numbering2"/>
              <w:numPr>
                <w:ilvl w:val="0"/>
                <w:numId w:val="30"/>
              </w:numPr>
              <w:ind w:left="2293"/>
            </w:pPr>
            <w:proofErr w:type="gramStart"/>
            <w:r w:rsidRPr="00834834">
              <w:t>les</w:t>
            </w:r>
            <w:proofErr w:type="gramEnd"/>
            <w:r w:rsidRPr="00834834">
              <w:t xml:space="preserve"> commentaires appropriés pour chaque poste de recettes ;</w:t>
            </w:r>
          </w:p>
          <w:p w14:paraId="164AF8B0" w14:textId="6452202A" w:rsidR="004A2404" w:rsidRPr="00834834" w:rsidRDefault="004A2404" w:rsidP="00ED4F09">
            <w:pPr>
              <w:pStyle w:val="numbering2"/>
              <w:numPr>
                <w:ilvl w:val="0"/>
                <w:numId w:val="131"/>
              </w:numPr>
              <w:ind w:left="2290"/>
            </w:pPr>
            <w:r w:rsidRPr="00834834">
              <w:t>En ce qui concerne l</w:t>
            </w:r>
            <w:r w:rsidR="00D0034C" w:rsidRPr="00834834">
              <w:t>’</w:t>
            </w:r>
            <w:r w:rsidRPr="00834834">
              <w:t>état des dépenses :</w:t>
            </w:r>
          </w:p>
          <w:p w14:paraId="55333873" w14:textId="52593F98" w:rsidR="004A2404" w:rsidRPr="00396553" w:rsidRDefault="004A2404" w:rsidP="00ED4F09">
            <w:pPr>
              <w:pStyle w:val="numbering2"/>
              <w:numPr>
                <w:ilvl w:val="0"/>
                <w:numId w:val="31"/>
              </w:numPr>
              <w:ind w:left="2293"/>
            </w:pPr>
            <w:proofErr w:type="gramStart"/>
            <w:r w:rsidRPr="00396553">
              <w:t>les</w:t>
            </w:r>
            <w:proofErr w:type="gramEnd"/>
            <w:r w:rsidRPr="00396553">
              <w:t xml:space="preserve"> crédits ouverts pour l</w:t>
            </w:r>
            <w:r w:rsidR="00D0034C" w:rsidRPr="00396553">
              <w:t>’</w:t>
            </w:r>
            <w:r w:rsidRPr="00396553">
              <w:t>exercice concerné ;</w:t>
            </w:r>
          </w:p>
          <w:p w14:paraId="29097CAE" w14:textId="4E5F1AE7" w:rsidR="004A2404" w:rsidRPr="00396553" w:rsidRDefault="004A2404" w:rsidP="00ED4F09">
            <w:pPr>
              <w:pStyle w:val="numbering2"/>
              <w:numPr>
                <w:ilvl w:val="0"/>
                <w:numId w:val="31"/>
              </w:numPr>
              <w:ind w:left="2293"/>
            </w:pPr>
            <w:proofErr w:type="gramStart"/>
            <w:r w:rsidRPr="00396553">
              <w:t>les</w:t>
            </w:r>
            <w:proofErr w:type="gramEnd"/>
            <w:r w:rsidRPr="00396553">
              <w:t xml:space="preserve"> crédits ouverts pour l</w:t>
            </w:r>
            <w:r w:rsidR="00D0034C" w:rsidRPr="00396553">
              <w:t>’</w:t>
            </w:r>
            <w:r w:rsidRPr="00396553">
              <w:t>exercice précédent et les dépenses effectives du dernier exercice clos ;</w:t>
            </w:r>
          </w:p>
          <w:p w14:paraId="6C00DE13" w14:textId="2ED247EA" w:rsidR="004A2404" w:rsidRPr="00396553" w:rsidRDefault="004A2404" w:rsidP="00ED4F09">
            <w:pPr>
              <w:pStyle w:val="numbering2"/>
              <w:numPr>
                <w:ilvl w:val="0"/>
                <w:numId w:val="31"/>
              </w:numPr>
              <w:ind w:left="2293"/>
            </w:pPr>
            <w:proofErr w:type="gramStart"/>
            <w:r w:rsidRPr="00396553">
              <w:t>les</w:t>
            </w:r>
            <w:proofErr w:type="gramEnd"/>
            <w:r w:rsidRPr="00396553">
              <w:t xml:space="preserve"> commentaires appropriés pour chaque poste ;</w:t>
            </w:r>
          </w:p>
          <w:p w14:paraId="785467F3" w14:textId="7A7646BC" w:rsidR="004A2404" w:rsidRPr="00834834" w:rsidRDefault="004A2404" w:rsidP="00ED4F09">
            <w:pPr>
              <w:pStyle w:val="numbering2"/>
              <w:numPr>
                <w:ilvl w:val="0"/>
                <w:numId w:val="131"/>
              </w:numPr>
              <w:ind w:left="2148"/>
            </w:pPr>
            <w:r w:rsidRPr="00834834">
              <w:t>En ce qui concerne les effectifs :</w:t>
            </w:r>
          </w:p>
          <w:p w14:paraId="5924C897" w14:textId="7E8D6C43" w:rsidR="004A2404" w:rsidRPr="00396553" w:rsidRDefault="004A2404" w:rsidP="00ED4F09">
            <w:pPr>
              <w:pStyle w:val="numbering2"/>
              <w:numPr>
                <w:ilvl w:val="0"/>
                <w:numId w:val="32"/>
              </w:numPr>
              <w:ind w:left="2293"/>
            </w:pPr>
            <w:proofErr w:type="gramStart"/>
            <w:r w:rsidRPr="00396553">
              <w:t>en</w:t>
            </w:r>
            <w:proofErr w:type="gramEnd"/>
            <w:r w:rsidRPr="00396553">
              <w:t xml:space="preserve"> annexe, un tableau des effectifs fixant le nombre des emplois permanents et temporaires, à temps plein et à temps partiel, par cadre et dans celui-ci par nature des fonctions. Ce tableau constitue pour chaque École et pour le </w:t>
            </w:r>
            <w:r w:rsidRPr="00396553">
              <w:lastRenderedPageBreak/>
              <w:t>Bureau du Secrétaire général une limite impérative ; aucun pourvoi de poste ne peut être fait au-delà de cette limite ; la liste des postes indique, à côté du nombre de postes autorisés pour l</w:t>
            </w:r>
            <w:r w:rsidR="00D0034C" w:rsidRPr="00396553">
              <w:t>’</w:t>
            </w:r>
            <w:r w:rsidRPr="00396553">
              <w:t>exercice, le nombre de postes autorisés pour l</w:t>
            </w:r>
            <w:r w:rsidR="00D0034C" w:rsidRPr="00396553">
              <w:t>’</w:t>
            </w:r>
            <w:r w:rsidRPr="00396553">
              <w:t>exercice précédent ;</w:t>
            </w:r>
          </w:p>
          <w:p w14:paraId="4A0F062B" w14:textId="42D5BFFE" w:rsidR="003421F9" w:rsidRPr="00396553" w:rsidRDefault="004A2404" w:rsidP="00ED4F09">
            <w:pPr>
              <w:pStyle w:val="numbering2"/>
              <w:numPr>
                <w:ilvl w:val="0"/>
                <w:numId w:val="32"/>
              </w:numPr>
              <w:ind w:left="2293"/>
            </w:pPr>
            <w:proofErr w:type="gramStart"/>
            <w:r w:rsidRPr="00396553">
              <w:t>les</w:t>
            </w:r>
            <w:proofErr w:type="gramEnd"/>
            <w:r w:rsidRPr="00396553">
              <w:t xml:space="preserve"> commentaires appropriés.</w:t>
            </w:r>
          </w:p>
          <w:p w14:paraId="3D6C7198" w14:textId="6EEE3CD9" w:rsidR="004A2404" w:rsidRPr="00834834" w:rsidRDefault="004A2404" w:rsidP="00396553">
            <w:pPr>
              <w:pStyle w:val="Heading1"/>
            </w:pPr>
            <w:r w:rsidRPr="00834834">
              <w:t>TITRE</w:t>
            </w:r>
            <w:r w:rsidR="00D0034C" w:rsidRPr="00834834">
              <w:t> </w:t>
            </w:r>
            <w:r w:rsidRPr="00834834">
              <w:t>III</w:t>
            </w:r>
          </w:p>
          <w:p w14:paraId="57D49A00" w14:textId="1D334A58" w:rsidR="004A2404" w:rsidRPr="00396553" w:rsidRDefault="004A2404" w:rsidP="00396553">
            <w:pPr>
              <w:pStyle w:val="Heading1"/>
            </w:pPr>
            <w:r w:rsidRPr="00834834">
              <w:t>EXÉCUTION DU BUDGET</w:t>
            </w:r>
          </w:p>
          <w:p w14:paraId="1224E59E" w14:textId="77777777" w:rsidR="004A2404" w:rsidRPr="00834834" w:rsidRDefault="004A2404" w:rsidP="00396553">
            <w:pPr>
              <w:pStyle w:val="Heading2"/>
            </w:pPr>
            <w:r w:rsidRPr="00834834">
              <w:t xml:space="preserve">SECTION I </w:t>
            </w:r>
          </w:p>
          <w:p w14:paraId="10EFD249" w14:textId="53B7C7FE" w:rsidR="00FE4732" w:rsidRPr="00396553" w:rsidRDefault="004A2404" w:rsidP="00396553">
            <w:pPr>
              <w:pStyle w:val="Heading2"/>
            </w:pPr>
            <w:r w:rsidRPr="00834834">
              <w:t xml:space="preserve">ACTEURS FINANCIERS </w:t>
            </w:r>
          </w:p>
          <w:p w14:paraId="363D9E12" w14:textId="01309FA4" w:rsidR="003421F9"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27</w:t>
            </w:r>
          </w:p>
          <w:p w14:paraId="74E5F48C" w14:textId="77777777" w:rsidR="004A2404" w:rsidRPr="00834834" w:rsidRDefault="004A2404" w:rsidP="007673A5">
            <w:pPr>
              <w:pStyle w:val="Subtitle"/>
              <w:rPr>
                <w:lang w:val="fr-BE"/>
              </w:rPr>
            </w:pPr>
            <w:r w:rsidRPr="00834834">
              <w:rPr>
                <w:lang w:val="fr-BE"/>
              </w:rPr>
              <w:t>Principe de la séparation des fonctions</w:t>
            </w:r>
          </w:p>
          <w:p w14:paraId="34E3A129" w14:textId="436061C4" w:rsidR="004A2404" w:rsidRPr="00834834" w:rsidRDefault="004A2404" w:rsidP="00396553">
            <w:pPr>
              <w:rPr>
                <w:lang w:val="fr-BE"/>
              </w:rPr>
            </w:pPr>
            <w:r w:rsidRPr="00834834">
              <w:rPr>
                <w:lang w:val="fr-BE"/>
              </w:rPr>
              <w:t>Les fonctions d</w:t>
            </w:r>
            <w:r w:rsidR="00D0034C" w:rsidRPr="00834834">
              <w:rPr>
                <w:lang w:val="fr-BE"/>
              </w:rPr>
              <w:t>’</w:t>
            </w:r>
            <w:r w:rsidRPr="00834834">
              <w:rPr>
                <w:lang w:val="fr-BE"/>
              </w:rPr>
              <w:t>ordonnateur et de comptable sont séparées et incompatibles entre elles.</w:t>
            </w:r>
          </w:p>
          <w:p w14:paraId="1BAA76F1" w14:textId="4169087B"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28</w:t>
            </w:r>
          </w:p>
          <w:p w14:paraId="75A1B53E" w14:textId="77777777" w:rsidR="004A2404" w:rsidRPr="00834834" w:rsidRDefault="004A2404" w:rsidP="007673A5">
            <w:pPr>
              <w:pStyle w:val="Subtitle"/>
              <w:rPr>
                <w:lang w:val="fr-BE"/>
              </w:rPr>
            </w:pPr>
            <w:r w:rsidRPr="00834834">
              <w:rPr>
                <w:lang w:val="fr-BE"/>
              </w:rPr>
              <w:t>Ordonnateur des Écoles européennes</w:t>
            </w:r>
          </w:p>
          <w:p w14:paraId="57B3067B" w14:textId="679F258C" w:rsidR="004A2404" w:rsidRPr="00834834" w:rsidRDefault="004A2404" w:rsidP="00396553">
            <w:pPr>
              <w:rPr>
                <w:lang w:val="fr-BE"/>
              </w:rPr>
            </w:pPr>
            <w:r w:rsidRPr="00834834">
              <w:rPr>
                <w:lang w:val="fr-BE"/>
              </w:rPr>
              <w:t>Le rôle d</w:t>
            </w:r>
            <w:r w:rsidR="00D0034C" w:rsidRPr="00834834">
              <w:rPr>
                <w:lang w:val="fr-BE"/>
              </w:rPr>
              <w:t>’</w:t>
            </w:r>
            <w:r w:rsidRPr="00834834">
              <w:rPr>
                <w:lang w:val="fr-BE"/>
              </w:rPr>
              <w:t>ordonnateur des Écoles européennes est conféré au Secrétaire général.</w:t>
            </w:r>
          </w:p>
          <w:p w14:paraId="0A0C7960" w14:textId="75772F79"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29</w:t>
            </w:r>
          </w:p>
          <w:p w14:paraId="1B98FF71" w14:textId="72B324BE" w:rsidR="004A2404" w:rsidRPr="00834834" w:rsidRDefault="004A2404" w:rsidP="007673A5">
            <w:pPr>
              <w:pStyle w:val="Subtitle"/>
              <w:rPr>
                <w:lang w:val="fr-BE"/>
              </w:rPr>
            </w:pPr>
            <w:r w:rsidRPr="00834834">
              <w:rPr>
                <w:lang w:val="fr-BE"/>
              </w:rPr>
              <w:t>Fonctions et attributions de l</w:t>
            </w:r>
            <w:r w:rsidR="00D0034C" w:rsidRPr="00834834">
              <w:rPr>
                <w:lang w:val="fr-BE"/>
              </w:rPr>
              <w:t>’</w:t>
            </w:r>
            <w:r w:rsidRPr="00834834">
              <w:rPr>
                <w:lang w:val="fr-BE"/>
              </w:rPr>
              <w:t>ordonnateur des Écoles européennes</w:t>
            </w:r>
          </w:p>
          <w:p w14:paraId="578C41EE" w14:textId="731B646D" w:rsidR="004A2404" w:rsidRPr="0019612A" w:rsidRDefault="004A2404" w:rsidP="009B042C">
            <w:pPr>
              <w:pStyle w:val="ListParagraph"/>
              <w:numPr>
                <w:ilvl w:val="1"/>
                <w:numId w:val="7"/>
              </w:numPr>
              <w:ind w:left="1017"/>
            </w:pPr>
            <w:r w:rsidRPr="0019612A">
              <w:t>L’ordonnateur (ou ordonnatrice) des Écoles européennes est chargé(e) d’exécuter les recettes et les dépenses conformément au principe de bonne gestion financière et d’en assurer la légalité et la régularité.</w:t>
            </w:r>
          </w:p>
          <w:p w14:paraId="3ACA23EC" w14:textId="7CE8B1BD" w:rsidR="00E11806" w:rsidRPr="0019612A" w:rsidRDefault="004A2404" w:rsidP="009B042C">
            <w:pPr>
              <w:pStyle w:val="ListParagraph"/>
              <w:numPr>
                <w:ilvl w:val="1"/>
                <w:numId w:val="7"/>
              </w:numPr>
              <w:ind w:left="1017"/>
            </w:pPr>
            <w:r w:rsidRPr="0019612A">
              <w:t>Aux fins du paragraphe 1 et conformément à l’article 4 et aux Normes de contrôle interne arrêtées par le Conseil supérieur, l</w:t>
            </w:r>
            <w:r w:rsidR="00D0034C" w:rsidRPr="0019612A">
              <w:t>’</w:t>
            </w:r>
            <w:r w:rsidRPr="0019612A">
              <w:t>ordonnateur des Écoles européennes met en place la structure organisationnelle d</w:t>
            </w:r>
            <w:r w:rsidR="00D0034C" w:rsidRPr="0019612A">
              <w:t>’</w:t>
            </w:r>
            <w:r w:rsidRPr="0019612A">
              <w:t>une structure de contrôle interne ainsi que les systèmes de contrôle interne adaptés à l</w:t>
            </w:r>
            <w:r w:rsidR="00D0034C" w:rsidRPr="0019612A">
              <w:t>’</w:t>
            </w:r>
            <w:r w:rsidRPr="0019612A">
              <w:t>exécution de ses tâches. La structure de contrôle interne et, de manière générale, les systèmes et procédures de contrôle interne sont essentiellement destinés à :</w:t>
            </w:r>
          </w:p>
          <w:p w14:paraId="77D0F41D" w14:textId="584022BF" w:rsidR="00E11806" w:rsidRPr="005E627D" w:rsidRDefault="00E11806" w:rsidP="00ED4F09">
            <w:pPr>
              <w:pStyle w:val="numbering2"/>
              <w:numPr>
                <w:ilvl w:val="0"/>
                <w:numId w:val="132"/>
              </w:numPr>
              <w:ind w:left="2148"/>
            </w:pPr>
            <w:proofErr w:type="gramStart"/>
            <w:r w:rsidRPr="005E627D">
              <w:t>la</w:t>
            </w:r>
            <w:proofErr w:type="gramEnd"/>
            <w:r w:rsidRPr="005E627D">
              <w:t xml:space="preserve"> réalisation des objectifs des politiques, programmes et actions des Écoles et du Bureau du Secrétaire général selon le principe de la bonne gestion financière ;</w:t>
            </w:r>
          </w:p>
          <w:p w14:paraId="26320582" w14:textId="660F4B73" w:rsidR="00E11806" w:rsidRPr="005E627D" w:rsidRDefault="00E11806" w:rsidP="00ED4F09">
            <w:pPr>
              <w:pStyle w:val="numbering2"/>
              <w:numPr>
                <w:ilvl w:val="0"/>
                <w:numId w:val="132"/>
              </w:numPr>
              <w:ind w:left="2148"/>
            </w:pPr>
            <w:proofErr w:type="gramStart"/>
            <w:r w:rsidRPr="005E627D">
              <w:t>le</w:t>
            </w:r>
            <w:proofErr w:type="gramEnd"/>
            <w:r w:rsidRPr="005E627D">
              <w:t xml:space="preserve"> respect des règles du droit de l</w:t>
            </w:r>
            <w:r w:rsidR="00D0034C" w:rsidRPr="005E627D">
              <w:t>’</w:t>
            </w:r>
            <w:r w:rsidRPr="005E627D">
              <w:t>Union ainsi que des normes minimales de contrôle établies par le Conseil supérieur ;</w:t>
            </w:r>
          </w:p>
          <w:p w14:paraId="680A0133" w14:textId="73CE7A74" w:rsidR="00E11806" w:rsidRPr="005E627D" w:rsidRDefault="00E11806" w:rsidP="00ED4F09">
            <w:pPr>
              <w:pStyle w:val="numbering2"/>
              <w:numPr>
                <w:ilvl w:val="0"/>
                <w:numId w:val="132"/>
              </w:numPr>
              <w:ind w:left="2148"/>
            </w:pPr>
            <w:proofErr w:type="gramStart"/>
            <w:r w:rsidRPr="005E627D">
              <w:t>la</w:t>
            </w:r>
            <w:proofErr w:type="gramEnd"/>
            <w:r w:rsidRPr="005E627D">
              <w:t xml:space="preserve"> préservation des actifs et de l’information des Écoles et du Bureau du Secrétaire général ;</w:t>
            </w:r>
          </w:p>
          <w:p w14:paraId="62DCEB79" w14:textId="533CA1C3" w:rsidR="00E11806" w:rsidRPr="005E627D" w:rsidRDefault="00E11806" w:rsidP="00ED4F09">
            <w:pPr>
              <w:pStyle w:val="numbering2"/>
              <w:numPr>
                <w:ilvl w:val="0"/>
                <w:numId w:val="132"/>
              </w:numPr>
              <w:ind w:left="2148"/>
            </w:pPr>
            <w:proofErr w:type="gramStart"/>
            <w:r w:rsidRPr="005E627D">
              <w:t>la</w:t>
            </w:r>
            <w:proofErr w:type="gramEnd"/>
            <w:r w:rsidRPr="005E627D">
              <w:t xml:space="preserve"> prévention et la détection des irrégularités, des erreurs et des fraudes ;</w:t>
            </w:r>
          </w:p>
          <w:p w14:paraId="50427B04" w14:textId="581685CA" w:rsidR="00E11806" w:rsidRPr="005E627D" w:rsidRDefault="00E11806" w:rsidP="00ED4F09">
            <w:pPr>
              <w:pStyle w:val="numbering2"/>
              <w:numPr>
                <w:ilvl w:val="0"/>
                <w:numId w:val="132"/>
              </w:numPr>
              <w:ind w:left="2148"/>
            </w:pPr>
            <w:proofErr w:type="gramStart"/>
            <w:r w:rsidRPr="005E627D">
              <w:t>l’identification</w:t>
            </w:r>
            <w:proofErr w:type="gramEnd"/>
            <w:r w:rsidRPr="005E627D">
              <w:t xml:space="preserve"> et la prévention des risques de gestion ;</w:t>
            </w:r>
          </w:p>
          <w:p w14:paraId="21761E2C" w14:textId="731768F3" w:rsidR="00E11806" w:rsidRPr="005E627D" w:rsidRDefault="00E11806" w:rsidP="00ED4F09">
            <w:pPr>
              <w:pStyle w:val="numbering2"/>
              <w:numPr>
                <w:ilvl w:val="0"/>
                <w:numId w:val="132"/>
              </w:numPr>
              <w:ind w:left="2148"/>
            </w:pPr>
            <w:proofErr w:type="gramStart"/>
            <w:r w:rsidRPr="005E627D">
              <w:t>la</w:t>
            </w:r>
            <w:proofErr w:type="gramEnd"/>
            <w:r w:rsidRPr="005E627D">
              <w:t xml:space="preserve"> production fiable de l’information financière et de gestion ;</w:t>
            </w:r>
          </w:p>
          <w:p w14:paraId="4B705008" w14:textId="642238EC" w:rsidR="00E11806" w:rsidRPr="005E627D" w:rsidRDefault="00E11806" w:rsidP="00ED4F09">
            <w:pPr>
              <w:pStyle w:val="numbering2"/>
              <w:numPr>
                <w:ilvl w:val="0"/>
                <w:numId w:val="132"/>
              </w:numPr>
              <w:ind w:left="2148"/>
            </w:pPr>
            <w:proofErr w:type="gramStart"/>
            <w:r w:rsidRPr="005E627D">
              <w:lastRenderedPageBreak/>
              <w:t>la</w:t>
            </w:r>
            <w:proofErr w:type="gramEnd"/>
            <w:r w:rsidRPr="005E627D">
              <w:t xml:space="preserve"> conservation des pièces justificatives liées et consécutives à l’exécution budgétaire et aux actes d’exécution budgétaire.</w:t>
            </w:r>
          </w:p>
          <w:p w14:paraId="2EBB18C7" w14:textId="77777777" w:rsidR="004A2404" w:rsidRPr="00834834" w:rsidRDefault="00FA0C13" w:rsidP="0019612A">
            <w:pPr>
              <w:rPr>
                <w:lang w:val="fr-BE"/>
              </w:rPr>
            </w:pPr>
            <w:r w:rsidRPr="00834834">
              <w:rPr>
                <w:lang w:val="fr-BE"/>
              </w:rPr>
              <w:t>La structure organisationnelle de la structure de contrôle interne et la définition de ses missions et responsabilités seront communiquées au Conseil supérieur.</w:t>
            </w:r>
          </w:p>
          <w:p w14:paraId="6E0FCEDB" w14:textId="422BC9D6" w:rsidR="0050024B" w:rsidRPr="00834834" w:rsidRDefault="004A2404" w:rsidP="00ED4F09">
            <w:pPr>
              <w:pStyle w:val="ListParagraph"/>
              <w:numPr>
                <w:ilvl w:val="0"/>
                <w:numId w:val="33"/>
              </w:numPr>
            </w:pPr>
            <w:r w:rsidRPr="00834834">
              <w:t>Pour exécuter des dépenses, l</w:t>
            </w:r>
            <w:r w:rsidR="00D0034C" w:rsidRPr="00834834">
              <w:t>’</w:t>
            </w:r>
            <w:r w:rsidRPr="00834834">
              <w:t>ordonnateur des Écoles européennes procède à des engagements budgétaires et des engagements juridiques, à la liquidation des dépenses et à l</w:t>
            </w:r>
            <w:r w:rsidR="00D0034C" w:rsidRPr="00834834">
              <w:t>’</w:t>
            </w:r>
            <w:r w:rsidRPr="00834834">
              <w:t>ordonnancement des paiements par le biais d</w:t>
            </w:r>
            <w:r w:rsidR="00D0034C" w:rsidRPr="00834834">
              <w:t>’</w:t>
            </w:r>
            <w:r w:rsidRPr="00834834">
              <w:t xml:space="preserve">ordres de paiement, et il prend les mesures préalables nécessaires à cette exécution des crédits. </w:t>
            </w:r>
          </w:p>
          <w:p w14:paraId="6AF8710E" w14:textId="77777777" w:rsidR="007A22C1" w:rsidRPr="00834834" w:rsidRDefault="004A2404" w:rsidP="00ED4F09">
            <w:pPr>
              <w:pStyle w:val="ListParagraph"/>
              <w:numPr>
                <w:ilvl w:val="0"/>
                <w:numId w:val="33"/>
              </w:numPr>
            </w:pPr>
            <w:r w:rsidRPr="00834834">
              <w:rPr>
                <w:bCs/>
              </w:rPr>
              <w:t>L</w:t>
            </w:r>
            <w:r w:rsidR="00D0034C" w:rsidRPr="00834834">
              <w:rPr>
                <w:bCs/>
              </w:rPr>
              <w:t>’</w:t>
            </w:r>
            <w:r w:rsidRPr="00834834">
              <w:rPr>
                <w:bCs/>
              </w:rPr>
              <w:t>exécution des recettes comporte l</w:t>
            </w:r>
            <w:r w:rsidR="00D0034C" w:rsidRPr="00834834">
              <w:rPr>
                <w:bCs/>
              </w:rPr>
              <w:t>’</w:t>
            </w:r>
            <w:r w:rsidRPr="00834834">
              <w:rPr>
                <w:bCs/>
              </w:rPr>
              <w:t>établissement des prévisions de créances, la constatation des droits à recouvrer et l</w:t>
            </w:r>
            <w:r w:rsidR="00D0034C" w:rsidRPr="00834834">
              <w:rPr>
                <w:bCs/>
              </w:rPr>
              <w:t>’</w:t>
            </w:r>
            <w:r w:rsidRPr="00834834">
              <w:rPr>
                <w:bCs/>
              </w:rPr>
              <w:t>émission des ordres de recouvrement. Elle comporte, le cas échéant, la renonciation aux créances constatées</w:t>
            </w:r>
            <w:r w:rsidR="007A22C1" w:rsidRPr="00834834">
              <w:rPr>
                <w:bCs/>
              </w:rPr>
              <w:t>.</w:t>
            </w:r>
          </w:p>
          <w:p w14:paraId="0B9C2051" w14:textId="77777777" w:rsidR="007A22C1" w:rsidRPr="00834834" w:rsidRDefault="00FB497D" w:rsidP="00ED4F09">
            <w:pPr>
              <w:pStyle w:val="ListParagraph"/>
              <w:numPr>
                <w:ilvl w:val="0"/>
                <w:numId w:val="33"/>
              </w:numPr>
            </w:pPr>
            <w:r w:rsidRPr="00834834">
              <w:rPr>
                <w:bCs/>
              </w:rPr>
              <w:t>L</w:t>
            </w:r>
            <w:r w:rsidR="00D0034C" w:rsidRPr="00834834">
              <w:rPr>
                <w:bCs/>
              </w:rPr>
              <w:t>’</w:t>
            </w:r>
            <w:r w:rsidRPr="00834834">
              <w:rPr>
                <w:bCs/>
              </w:rPr>
              <w:t>ordonnateur des Écoles européennes conserve les pièces justificatives originales relatives aux opérations effectuées pendant une période de cinq ans à compter de la date de la décision de décharge sur l</w:t>
            </w:r>
            <w:r w:rsidR="00D0034C" w:rsidRPr="00834834">
              <w:rPr>
                <w:bCs/>
              </w:rPr>
              <w:t>’</w:t>
            </w:r>
            <w:r w:rsidRPr="00834834">
              <w:rPr>
                <w:bCs/>
              </w:rPr>
              <w:t>exécution du budget des Écoles européennes. Toutefois, les pièces relatives à des opérations non définitivement closes sont conservées jusqu’à la fin de l’année suivant celle de la clôture desdites opérations. En tout état de cause, les systèmes et procédures de gestion concernant la conservation des pièces justificatives originales doivent être organisés de façon à assurer leur conservation ordonnée et à permettre à tout moment les recherches nécessaires. Les données à caractère personnel contenues dans les pièces justificatives sont supprimées si possible lorsqu’elles ne sont pas nécessaires aux fins de la décharge budgétaire, du contrôle et de l’audit.</w:t>
            </w:r>
            <w:r w:rsidRPr="00834834">
              <w:t xml:space="preserve"> </w:t>
            </w:r>
            <w:r w:rsidRPr="00834834">
              <w:rPr>
                <w:bCs/>
              </w:rPr>
              <w:t>En tout état de cause, en ce qui concerne la conservation des données relatives au trafic, le paragraphe 2 de l</w:t>
            </w:r>
            <w:r w:rsidR="00D0034C" w:rsidRPr="00834834">
              <w:rPr>
                <w:bCs/>
              </w:rPr>
              <w:t>’</w:t>
            </w:r>
            <w:r w:rsidRPr="00834834">
              <w:rPr>
                <w:bCs/>
              </w:rPr>
              <w:t>article 37 du Règlement (CE) n</w:t>
            </w:r>
            <w:r w:rsidRPr="00834834">
              <w:rPr>
                <w:bCs/>
                <w:vertAlign w:val="superscript"/>
              </w:rPr>
              <w:t>o</w:t>
            </w:r>
            <w:r w:rsidRPr="00834834">
              <w:rPr>
                <w:bCs/>
              </w:rPr>
              <w:t> 45/2001 est applicable.</w:t>
            </w:r>
          </w:p>
          <w:p w14:paraId="557696B9" w14:textId="4DFA04EF" w:rsidR="00D73FC4" w:rsidRPr="00834834" w:rsidRDefault="008062B8" w:rsidP="00ED4F09">
            <w:pPr>
              <w:pStyle w:val="ListParagraph"/>
              <w:numPr>
                <w:ilvl w:val="0"/>
                <w:numId w:val="33"/>
              </w:numPr>
            </w:pPr>
            <w:r w:rsidRPr="00834834">
              <w:rPr>
                <w:bCs/>
              </w:rPr>
              <w:t>Dans le cadre fixé par le présent Règlement, l</w:t>
            </w:r>
            <w:r w:rsidR="00D0034C" w:rsidRPr="00834834">
              <w:rPr>
                <w:bCs/>
              </w:rPr>
              <w:t>’</w:t>
            </w:r>
            <w:r w:rsidRPr="00834834">
              <w:rPr>
                <w:bCs/>
              </w:rPr>
              <w:t>ordonnateur des Écoles européennes adopte des mémorandums d</w:t>
            </w:r>
            <w:r w:rsidR="00D0034C" w:rsidRPr="00834834">
              <w:rPr>
                <w:bCs/>
              </w:rPr>
              <w:t>’</w:t>
            </w:r>
            <w:r w:rsidRPr="00834834">
              <w:rPr>
                <w:bCs/>
              </w:rPr>
              <w:t>application obligatoire pour les Écoles, qui spécifient les mesures de gestion des crédits qui lui paraissent nécessaires pour la bonne exécution de chaque section du budget. En outre, il peut envoyer aux Écoles des mémorandums d</w:t>
            </w:r>
            <w:r w:rsidR="00D0034C" w:rsidRPr="00834834">
              <w:rPr>
                <w:bCs/>
              </w:rPr>
              <w:t>’</w:t>
            </w:r>
            <w:r w:rsidRPr="00834834">
              <w:rPr>
                <w:bCs/>
              </w:rPr>
              <w:t>application obligatoire afin de clarifier la situation en cas de besoin.</w:t>
            </w:r>
          </w:p>
          <w:p w14:paraId="4FCD014E" w14:textId="15A09E46" w:rsidR="00684409" w:rsidRPr="00834834" w:rsidRDefault="00684409" w:rsidP="00ED4F09">
            <w:pPr>
              <w:pStyle w:val="ListParagraph"/>
              <w:numPr>
                <w:ilvl w:val="0"/>
                <w:numId w:val="33"/>
              </w:numPr>
            </w:pPr>
            <w:r w:rsidRPr="00834834">
              <w:t>L</w:t>
            </w:r>
            <w:r w:rsidR="00D0034C" w:rsidRPr="00834834">
              <w:t>’</w:t>
            </w:r>
            <w:r w:rsidRPr="00834834">
              <w:t>ordonnateur des Écoles européennes informe en temps utile la Cour des comptes européenne de la nomination et de la révocation des ordonnateurs délégués, des auditeurs internes et du comptable, ainsi que de toute règle interne adoptée concernant des questions financières.</w:t>
            </w:r>
          </w:p>
          <w:p w14:paraId="1557FBCA" w14:textId="7520CCE4"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30</w:t>
            </w:r>
          </w:p>
          <w:p w14:paraId="6B633EB6" w14:textId="77777777" w:rsidR="004E6868" w:rsidRPr="00834834" w:rsidRDefault="004A2404" w:rsidP="007673A5">
            <w:pPr>
              <w:pStyle w:val="Subtitle"/>
              <w:rPr>
                <w:lang w:val="fr-BE"/>
              </w:rPr>
            </w:pPr>
            <w:r w:rsidRPr="00834834">
              <w:rPr>
                <w:lang w:val="fr-BE"/>
              </w:rPr>
              <w:t>Délégation de pouvoirs d’exécution budgétaire.</w:t>
            </w:r>
          </w:p>
          <w:p w14:paraId="5969AD26" w14:textId="77777777" w:rsidR="004A2404" w:rsidRPr="00834834" w:rsidRDefault="0008136D" w:rsidP="007673A5">
            <w:pPr>
              <w:pStyle w:val="Subtitle"/>
              <w:rPr>
                <w:lang w:val="fr-BE"/>
              </w:rPr>
            </w:pPr>
            <w:r w:rsidRPr="00834834">
              <w:rPr>
                <w:lang w:val="fr-BE"/>
              </w:rPr>
              <w:t>Ordonnateur délégué et ordonnateur subdélégué.</w:t>
            </w:r>
          </w:p>
          <w:p w14:paraId="5217726B" w14:textId="4DE491A9" w:rsidR="0080317F" w:rsidRPr="00586575" w:rsidRDefault="007903CA" w:rsidP="00586575">
            <w:pPr>
              <w:pStyle w:val="ListParagraph"/>
              <w:numPr>
                <w:ilvl w:val="0"/>
                <w:numId w:val="142"/>
              </w:numPr>
            </w:pPr>
            <w:r w:rsidRPr="00586575">
              <w:t>L</w:t>
            </w:r>
            <w:r w:rsidR="00D0034C" w:rsidRPr="00586575">
              <w:t>’</w:t>
            </w:r>
            <w:r w:rsidRPr="00586575">
              <w:t>ordonnateur des Écoles européennes délègue les pouvoirs d</w:t>
            </w:r>
            <w:r w:rsidR="00D0034C" w:rsidRPr="00586575">
              <w:t>’</w:t>
            </w:r>
            <w:r w:rsidRPr="00586575">
              <w:t>exécution du budget à un ordonnateur délégué (ou une ordonnatrice déléguée) dans les Écoles et au Bureau du Secrétaire général.</w:t>
            </w:r>
          </w:p>
          <w:p w14:paraId="688D5314" w14:textId="54B4DD01" w:rsidR="0008136D" w:rsidRPr="00834834" w:rsidRDefault="00783F0E" w:rsidP="00586575">
            <w:pPr>
              <w:pStyle w:val="ListParagraph"/>
              <w:numPr>
                <w:ilvl w:val="0"/>
                <w:numId w:val="142"/>
              </w:numPr>
            </w:pPr>
            <w:r w:rsidRPr="00586575">
              <w:t>Le délégataire</w:t>
            </w:r>
            <w:r w:rsidRPr="00834834">
              <w:t xml:space="preserve"> peut subdéléguer les pouvoirs reçus à un ordonnateur subdélégué (ou une ordonnatrice subdéléguée) dans son École ou au Bureau du Secrétaire général.</w:t>
            </w:r>
          </w:p>
          <w:p w14:paraId="10B908CD" w14:textId="465B862A" w:rsidR="005D0266" w:rsidRPr="00834834" w:rsidRDefault="004A2404" w:rsidP="0019612A">
            <w:pPr>
              <w:pStyle w:val="ListParagraph"/>
              <w:ind w:left="1019"/>
            </w:pPr>
            <w:r w:rsidRPr="00834834">
              <w:t>Les actes de délégation et subdélégation désignent les agents des Écoles et du Bureau du Secrétaire général habilités à signer au lieu et place du délégateur. Ces actes, accompagnés d</w:t>
            </w:r>
            <w:r w:rsidR="00D0034C" w:rsidRPr="00834834">
              <w:t>’</w:t>
            </w:r>
            <w:r w:rsidRPr="00834834">
              <w:t>un spécimen de signature de l’agent qui a reçu la délégation ou la subdélégation, sont notifiés :</w:t>
            </w:r>
          </w:p>
          <w:p w14:paraId="25934E7B" w14:textId="6FDAEB65" w:rsidR="005D0266" w:rsidRPr="00834834" w:rsidRDefault="005D0266" w:rsidP="00ED4F09">
            <w:pPr>
              <w:pStyle w:val="numbering2"/>
              <w:numPr>
                <w:ilvl w:val="2"/>
                <w:numId w:val="34"/>
              </w:numPr>
              <w:ind w:left="2295"/>
            </w:pPr>
            <w:proofErr w:type="gramStart"/>
            <w:r w:rsidRPr="00834834">
              <w:t>au</w:t>
            </w:r>
            <w:proofErr w:type="gramEnd"/>
            <w:r w:rsidRPr="00834834">
              <w:t xml:space="preserve"> délégataire ;</w:t>
            </w:r>
          </w:p>
          <w:p w14:paraId="1F368C64" w14:textId="4B0D0646" w:rsidR="005D0266" w:rsidRPr="00834834" w:rsidRDefault="005D0266" w:rsidP="00ED4F09">
            <w:pPr>
              <w:pStyle w:val="numbering2"/>
              <w:numPr>
                <w:ilvl w:val="2"/>
                <w:numId w:val="34"/>
              </w:numPr>
              <w:ind w:left="2295"/>
            </w:pPr>
            <w:proofErr w:type="gramStart"/>
            <w:r w:rsidRPr="00834834">
              <w:t>au</w:t>
            </w:r>
            <w:proofErr w:type="gramEnd"/>
            <w:r w:rsidRPr="00834834">
              <w:t xml:space="preserve"> comptable des Écoles européennes, qui ne peut effectuer aucun paiement ordonnancé par des agents non habilités ;</w:t>
            </w:r>
          </w:p>
          <w:p w14:paraId="09271261" w14:textId="4DB68259" w:rsidR="004D4A8F" w:rsidRPr="00834834" w:rsidRDefault="005D0266" w:rsidP="00ED4F09">
            <w:pPr>
              <w:pStyle w:val="numbering2"/>
              <w:numPr>
                <w:ilvl w:val="2"/>
                <w:numId w:val="34"/>
              </w:numPr>
              <w:ind w:left="2295"/>
            </w:pPr>
            <w:proofErr w:type="gramStart"/>
            <w:r w:rsidRPr="00834834">
              <w:t>au</w:t>
            </w:r>
            <w:proofErr w:type="gramEnd"/>
            <w:r w:rsidRPr="00834834">
              <w:t xml:space="preserve"> Conseil supérieur, au Comité budgétaire et aux Conseils d</w:t>
            </w:r>
            <w:r w:rsidR="00D0034C" w:rsidRPr="00834834">
              <w:t>’</w:t>
            </w:r>
            <w:r w:rsidRPr="00834834">
              <w:t>administration.</w:t>
            </w:r>
          </w:p>
          <w:p w14:paraId="7C4FF364" w14:textId="6DB35EC8" w:rsidR="00102DBE" w:rsidRPr="00834834" w:rsidRDefault="00B11A98" w:rsidP="00ED4F09">
            <w:pPr>
              <w:pStyle w:val="numbering2"/>
              <w:numPr>
                <w:ilvl w:val="2"/>
                <w:numId w:val="34"/>
              </w:numPr>
              <w:ind w:left="2295"/>
            </w:pPr>
            <w:proofErr w:type="gramStart"/>
            <w:r w:rsidRPr="00834834">
              <w:lastRenderedPageBreak/>
              <w:t>à</w:t>
            </w:r>
            <w:proofErr w:type="gramEnd"/>
            <w:r w:rsidRPr="00834834">
              <w:t xml:space="preserve"> la Cour des comptes européenne.</w:t>
            </w:r>
          </w:p>
          <w:p w14:paraId="4C92A15C" w14:textId="7845F98F" w:rsidR="009E1D4A" w:rsidRPr="00834834" w:rsidRDefault="009E1D4A" w:rsidP="00586575">
            <w:pPr>
              <w:pStyle w:val="ListParagraph"/>
              <w:numPr>
                <w:ilvl w:val="0"/>
                <w:numId w:val="142"/>
              </w:numPr>
            </w:pPr>
            <w:r w:rsidRPr="00834834">
              <w:t>Il peut être mis fin aux (</w:t>
            </w:r>
            <w:proofErr w:type="spellStart"/>
            <w:r w:rsidRPr="00834834">
              <w:t>sub</w:t>
            </w:r>
            <w:proofErr w:type="spellEnd"/>
            <w:r w:rsidRPr="00834834">
              <w:t>)délégations dans les cas suivants :</w:t>
            </w:r>
          </w:p>
          <w:p w14:paraId="30452EF3" w14:textId="096C5E48" w:rsidR="009E1D4A" w:rsidRPr="00834834" w:rsidRDefault="009E1D4A" w:rsidP="00ED4F09">
            <w:pPr>
              <w:pStyle w:val="numbering2"/>
              <w:numPr>
                <w:ilvl w:val="2"/>
                <w:numId w:val="35"/>
              </w:numPr>
              <w:ind w:left="2295"/>
            </w:pPr>
            <w:r w:rsidRPr="00834834">
              <w:t>Fraude ou suspicion de fraude ;</w:t>
            </w:r>
          </w:p>
          <w:p w14:paraId="6926E2A9" w14:textId="1D69B59E" w:rsidR="009E1D4A" w:rsidRPr="00834834" w:rsidRDefault="009E1D4A" w:rsidP="00ED4F09">
            <w:pPr>
              <w:pStyle w:val="numbering2"/>
              <w:numPr>
                <w:ilvl w:val="2"/>
                <w:numId w:val="35"/>
              </w:numPr>
              <w:ind w:left="2295"/>
            </w:pPr>
            <w:r w:rsidRPr="00834834">
              <w:t>Avis défavorable émis ou faiblesses significatives décelées lors des contrôles effectués par la Cour des comptes européenne ou de missions de vérification exécutées par le Service d’audit interne, ou d</w:t>
            </w:r>
            <w:r w:rsidR="00D0034C" w:rsidRPr="00834834">
              <w:t>’</w:t>
            </w:r>
            <w:r w:rsidRPr="00834834">
              <w:t>activités liées au contrôle interne ;</w:t>
            </w:r>
          </w:p>
          <w:p w14:paraId="13D26B0D" w14:textId="7B69307B" w:rsidR="009E1D4A" w:rsidRPr="00834834" w:rsidRDefault="009E1D4A" w:rsidP="00ED4F09">
            <w:pPr>
              <w:pStyle w:val="numbering2"/>
              <w:numPr>
                <w:ilvl w:val="2"/>
                <w:numId w:val="35"/>
              </w:numPr>
              <w:ind w:left="2295"/>
            </w:pPr>
            <w:r w:rsidRPr="00834834">
              <w:t>D</w:t>
            </w:r>
            <w:r w:rsidR="00D0034C" w:rsidRPr="00834834">
              <w:t>’</w:t>
            </w:r>
            <w:r w:rsidRPr="00834834">
              <w:t>autres circonstances analogues risquant de compromettre sérieusement la fidélité de l</w:t>
            </w:r>
            <w:r w:rsidR="00D0034C" w:rsidRPr="00834834">
              <w:t>’</w:t>
            </w:r>
            <w:r w:rsidRPr="00834834">
              <w:t>image de la situation des Écoles que les comptes devraient présenter ou le principe de bonne gestion financière.</w:t>
            </w:r>
          </w:p>
          <w:p w14:paraId="0A619CA8" w14:textId="5D0B0955" w:rsidR="009E1D4A" w:rsidRPr="00834834" w:rsidRDefault="003007CB" w:rsidP="002D5BA9">
            <w:pPr>
              <w:rPr>
                <w:lang w:val="fr-BE"/>
              </w:rPr>
            </w:pPr>
            <w:r w:rsidRPr="00834834">
              <w:rPr>
                <w:lang w:val="fr-BE"/>
              </w:rPr>
              <w:t>Les actes par lesquels il est mis fin aux (</w:t>
            </w:r>
            <w:proofErr w:type="spellStart"/>
            <w:r w:rsidRPr="00834834">
              <w:rPr>
                <w:lang w:val="fr-BE"/>
              </w:rPr>
              <w:t>sub</w:t>
            </w:r>
            <w:proofErr w:type="spellEnd"/>
            <w:r w:rsidRPr="00834834">
              <w:rPr>
                <w:lang w:val="fr-BE"/>
              </w:rPr>
              <w:t>)délégations accordées sont notifiés dans les mêmes conditions que les conditions prévues au présent article pour la communication des (</w:t>
            </w:r>
            <w:proofErr w:type="spellStart"/>
            <w:r w:rsidRPr="00834834">
              <w:rPr>
                <w:lang w:val="fr-BE"/>
              </w:rPr>
              <w:t>sub</w:t>
            </w:r>
            <w:proofErr w:type="spellEnd"/>
            <w:r w:rsidRPr="00834834">
              <w:rPr>
                <w:lang w:val="fr-BE"/>
              </w:rPr>
              <w:t>)délégations.</w:t>
            </w:r>
          </w:p>
          <w:p w14:paraId="5DC37EB8" w14:textId="521F2DF0" w:rsidR="009E1D4A" w:rsidRPr="00834834" w:rsidRDefault="009E1D4A" w:rsidP="00586575">
            <w:pPr>
              <w:pStyle w:val="ListParagraph"/>
              <w:numPr>
                <w:ilvl w:val="0"/>
                <w:numId w:val="142"/>
              </w:numPr>
            </w:pPr>
            <w:r w:rsidRPr="00834834">
              <w:t>Dans chaque École, le rôle d</w:t>
            </w:r>
            <w:r w:rsidR="00D0034C" w:rsidRPr="00834834">
              <w:t>’</w:t>
            </w:r>
            <w:r w:rsidRPr="00834834">
              <w:t>ordonnateur délégué responsable est conféré au Directeur de l</w:t>
            </w:r>
            <w:r w:rsidR="00D0034C" w:rsidRPr="00834834">
              <w:t>’</w:t>
            </w:r>
            <w:r w:rsidRPr="00834834">
              <w:t>École.</w:t>
            </w:r>
          </w:p>
          <w:p w14:paraId="7910E4D4" w14:textId="74D88CE9" w:rsidR="009E1D4A" w:rsidRPr="002D5BA9" w:rsidRDefault="009E1D4A" w:rsidP="002D5BA9">
            <w:pPr>
              <w:rPr>
                <w:lang w:val="fr-BE"/>
              </w:rPr>
            </w:pPr>
            <w:r w:rsidRPr="00834834">
              <w:rPr>
                <w:lang w:val="fr-BE"/>
              </w:rPr>
              <w:t>Tout Directeur peut subdéléguer les pouvoirs reçus au Directeur adjoint des finances et de l</w:t>
            </w:r>
            <w:r w:rsidR="00D0034C" w:rsidRPr="00834834">
              <w:rPr>
                <w:lang w:val="fr-BE"/>
              </w:rPr>
              <w:t>’</w:t>
            </w:r>
            <w:r w:rsidRPr="00834834">
              <w:rPr>
                <w:lang w:val="fr-BE"/>
              </w:rPr>
              <w:t>administration ou au Directeur adjoint du primaire/secondaire sauf lorsque, sur la base d</w:t>
            </w:r>
            <w:r w:rsidR="00D0034C" w:rsidRPr="00834834">
              <w:rPr>
                <w:lang w:val="fr-BE"/>
              </w:rPr>
              <w:t>’</w:t>
            </w:r>
            <w:r w:rsidRPr="00834834">
              <w:rPr>
                <w:lang w:val="fr-BE"/>
              </w:rPr>
              <w:t>une proposition de l</w:t>
            </w:r>
            <w:r w:rsidR="00D0034C" w:rsidRPr="00834834">
              <w:rPr>
                <w:lang w:val="fr-BE"/>
              </w:rPr>
              <w:t>’</w:t>
            </w:r>
            <w:r w:rsidRPr="00834834">
              <w:rPr>
                <w:lang w:val="fr-BE"/>
              </w:rPr>
              <w:t>ordonnateur des Écoles européennes, le Conseil supérieur en décide autrement.</w:t>
            </w:r>
          </w:p>
          <w:p w14:paraId="182786F0" w14:textId="43F87365" w:rsidR="009E1D4A" w:rsidRPr="00834834" w:rsidRDefault="009E1D4A" w:rsidP="002D5BA9">
            <w:pPr>
              <w:rPr>
                <w:lang w:val="fr-BE"/>
              </w:rPr>
            </w:pPr>
            <w:r w:rsidRPr="00834834">
              <w:rPr>
                <w:lang w:val="fr-BE"/>
              </w:rPr>
              <w:t>L</w:t>
            </w:r>
            <w:r w:rsidR="00D0034C" w:rsidRPr="00834834">
              <w:rPr>
                <w:lang w:val="fr-BE"/>
              </w:rPr>
              <w:t>’</w:t>
            </w:r>
            <w:r w:rsidRPr="00834834">
              <w:rPr>
                <w:lang w:val="fr-BE"/>
              </w:rPr>
              <w:t>acte de délégation ou subdélégation précise :</w:t>
            </w:r>
          </w:p>
          <w:p w14:paraId="026E37D9" w14:textId="029CB7C5" w:rsidR="00AB1BD2" w:rsidRPr="00ED4F09" w:rsidRDefault="00AB1BD2" w:rsidP="00ED4F09">
            <w:pPr>
              <w:pStyle w:val="numbering2"/>
              <w:numPr>
                <w:ilvl w:val="0"/>
                <w:numId w:val="133"/>
              </w:numPr>
              <w:ind w:left="2148"/>
            </w:pPr>
            <w:proofErr w:type="gramStart"/>
            <w:r w:rsidRPr="00ED4F09">
              <w:t>les</w:t>
            </w:r>
            <w:proofErr w:type="gramEnd"/>
            <w:r w:rsidRPr="00ED4F09">
              <w:t xml:space="preserve"> numéros d</w:t>
            </w:r>
            <w:r w:rsidR="00D0034C" w:rsidRPr="00ED4F09">
              <w:t>’</w:t>
            </w:r>
            <w:r w:rsidRPr="00ED4F09">
              <w:t>article et de poste du budget visés par la délégation ou subdélégation ;</w:t>
            </w:r>
          </w:p>
          <w:p w14:paraId="75680CCC" w14:textId="4CEB5CDD" w:rsidR="005D0266" w:rsidRPr="00ED4F09" w:rsidRDefault="00AB1BD2" w:rsidP="00ED4F09">
            <w:pPr>
              <w:pStyle w:val="numbering2"/>
              <w:numPr>
                <w:ilvl w:val="0"/>
                <w:numId w:val="133"/>
              </w:numPr>
              <w:ind w:left="2148"/>
            </w:pPr>
            <w:proofErr w:type="gramStart"/>
            <w:r w:rsidRPr="00ED4F09">
              <w:t>les</w:t>
            </w:r>
            <w:proofErr w:type="gramEnd"/>
            <w:r w:rsidRPr="00ED4F09">
              <w:t xml:space="preserve"> mesures d</w:t>
            </w:r>
            <w:r w:rsidR="00D0034C" w:rsidRPr="00ED4F09">
              <w:t>’</w:t>
            </w:r>
            <w:r w:rsidRPr="00ED4F09">
              <w:t>exécution budgétaire que peut prendre l</w:t>
            </w:r>
            <w:r w:rsidR="00D0034C" w:rsidRPr="00ED4F09">
              <w:t>’</w:t>
            </w:r>
            <w:r w:rsidRPr="00ED4F09">
              <w:t>ordonnateur délégué, et en particulier l</w:t>
            </w:r>
            <w:r w:rsidR="00D0034C" w:rsidRPr="00ED4F09">
              <w:t>’</w:t>
            </w:r>
            <w:r w:rsidRPr="00ED4F09">
              <w:t>autorisation de procéder à l</w:t>
            </w:r>
            <w:r w:rsidR="00D0034C" w:rsidRPr="00ED4F09">
              <w:t>’</w:t>
            </w:r>
            <w:r w:rsidRPr="00ED4F09">
              <w:t>établissement des propositions de constatations de créances et des ordres de recouvrement, des propositions d</w:t>
            </w:r>
            <w:r w:rsidR="00D0034C" w:rsidRPr="00ED4F09">
              <w:t>’</w:t>
            </w:r>
            <w:r w:rsidRPr="00ED4F09">
              <w:t xml:space="preserve">engagement de dépenses et des ordres de paiement ; </w:t>
            </w:r>
          </w:p>
          <w:p w14:paraId="1EB706AC" w14:textId="4390160B" w:rsidR="007866D2" w:rsidRPr="00ED4F09" w:rsidRDefault="007866D2" w:rsidP="00ED4F09">
            <w:pPr>
              <w:pStyle w:val="numbering2"/>
              <w:numPr>
                <w:ilvl w:val="0"/>
                <w:numId w:val="133"/>
              </w:numPr>
              <w:ind w:left="2148"/>
            </w:pPr>
            <w:proofErr w:type="gramStart"/>
            <w:r w:rsidRPr="00ED4F09">
              <w:t>le</w:t>
            </w:r>
            <w:proofErr w:type="gramEnd"/>
            <w:r w:rsidRPr="00ED4F09">
              <w:t xml:space="preserve"> montant des crédits budgétaires que l</w:t>
            </w:r>
            <w:r w:rsidR="00D0034C" w:rsidRPr="00ED4F09">
              <w:t>’</w:t>
            </w:r>
            <w:r w:rsidRPr="00ED4F09">
              <w:t>ordonnateur délégué ou subdélégué est autorisé à exécuter ;</w:t>
            </w:r>
          </w:p>
          <w:p w14:paraId="05DFDD63" w14:textId="77777777" w:rsidR="007866D2" w:rsidRPr="00ED4F09" w:rsidRDefault="007866D2" w:rsidP="00ED4F09">
            <w:pPr>
              <w:pStyle w:val="numbering2"/>
              <w:numPr>
                <w:ilvl w:val="0"/>
                <w:numId w:val="133"/>
              </w:numPr>
              <w:ind w:left="2148"/>
            </w:pPr>
            <w:proofErr w:type="gramStart"/>
            <w:r w:rsidRPr="00ED4F09">
              <w:t>le</w:t>
            </w:r>
            <w:proofErr w:type="gramEnd"/>
            <w:r w:rsidRPr="00ED4F09">
              <w:t xml:space="preserve"> cas échéant, la durée de la délégation ou subdélégation.</w:t>
            </w:r>
          </w:p>
          <w:p w14:paraId="56C7F093" w14:textId="6FE1DF2E" w:rsidR="003007CB" w:rsidRPr="00834834" w:rsidRDefault="003007CB" w:rsidP="00ED4F09">
            <w:pPr>
              <w:pStyle w:val="ListParagraph"/>
              <w:numPr>
                <w:ilvl w:val="0"/>
                <w:numId w:val="28"/>
              </w:numPr>
            </w:pPr>
            <w:r w:rsidRPr="00834834">
              <w:t>Au cas où il est mis fin à la délégation conférée à l</w:t>
            </w:r>
            <w:r w:rsidR="00D0034C" w:rsidRPr="00834834">
              <w:t>’</w:t>
            </w:r>
            <w:r w:rsidRPr="00834834">
              <w:t>ordonnateur délégué d</w:t>
            </w:r>
            <w:r w:rsidR="00D0034C" w:rsidRPr="00834834">
              <w:t>’</w:t>
            </w:r>
            <w:r w:rsidRPr="00834834">
              <w:t>une École, les pouvoirs concernés sont conférés, jusqu</w:t>
            </w:r>
            <w:r w:rsidR="00D0034C" w:rsidRPr="00834834">
              <w:t>’</w:t>
            </w:r>
            <w:r w:rsidRPr="00834834">
              <w:t>à ce qu</w:t>
            </w:r>
            <w:r w:rsidR="00D0034C" w:rsidRPr="00834834">
              <w:t>’</w:t>
            </w:r>
            <w:r w:rsidRPr="00834834">
              <w:t>une délégation soit accordée au nouveau Directeur, à l</w:t>
            </w:r>
            <w:r w:rsidR="00D0034C" w:rsidRPr="00834834">
              <w:t>’</w:t>
            </w:r>
            <w:r w:rsidRPr="00834834">
              <w:t>un des subdélégués mentionnés au paragraphe 4.</w:t>
            </w:r>
          </w:p>
          <w:p w14:paraId="7458DD6C" w14:textId="473BE00C" w:rsidR="003007CB" w:rsidRPr="00834834" w:rsidRDefault="003007CB" w:rsidP="00ED4F09">
            <w:pPr>
              <w:pStyle w:val="ListParagraph"/>
              <w:numPr>
                <w:ilvl w:val="0"/>
                <w:numId w:val="28"/>
              </w:numPr>
            </w:pPr>
            <w:r w:rsidRPr="00834834">
              <w:t>Les délégations accordées au Directeur de l</w:t>
            </w:r>
            <w:r w:rsidR="00D0034C" w:rsidRPr="00834834">
              <w:t>’</w:t>
            </w:r>
            <w:r w:rsidRPr="00834834">
              <w:t>École restent valides jusqu</w:t>
            </w:r>
            <w:r w:rsidR="00D0034C" w:rsidRPr="00834834">
              <w:t>’</w:t>
            </w:r>
            <w:r w:rsidRPr="00834834">
              <w:t>à la nomination d</w:t>
            </w:r>
            <w:r w:rsidR="00D0034C" w:rsidRPr="00834834">
              <w:t>’</w:t>
            </w:r>
            <w:r w:rsidRPr="00834834">
              <w:t>un nouveau Directeur de l</w:t>
            </w:r>
            <w:r w:rsidR="00D0034C" w:rsidRPr="00834834">
              <w:t>’</w:t>
            </w:r>
            <w:r w:rsidRPr="00834834">
              <w:t>École en remplacement de l</w:t>
            </w:r>
            <w:r w:rsidR="00D0034C" w:rsidRPr="00834834">
              <w:t>’</w:t>
            </w:r>
            <w:r w:rsidRPr="00834834">
              <w:t>ancien.</w:t>
            </w:r>
          </w:p>
          <w:p w14:paraId="1033809B" w14:textId="1118698E" w:rsidR="003007CB" w:rsidRPr="00834834" w:rsidRDefault="003007CB" w:rsidP="0019612A">
            <w:pPr>
              <w:pStyle w:val="ListParagraph"/>
              <w:ind w:left="1117"/>
            </w:pPr>
            <w:r w:rsidRPr="00834834">
              <w:t>Toutefois, un nouvel acte de délégation est rédigé à la suite de la nomination du nouveau Directeur de l</w:t>
            </w:r>
            <w:r w:rsidR="00D0034C" w:rsidRPr="00834834">
              <w:t>’</w:t>
            </w:r>
            <w:r w:rsidRPr="00834834">
              <w:t>École.</w:t>
            </w:r>
          </w:p>
          <w:p w14:paraId="76CE5AC4" w14:textId="4696DB68"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31</w:t>
            </w:r>
          </w:p>
          <w:p w14:paraId="657D05B7" w14:textId="246BFF5F" w:rsidR="004A2404" w:rsidRPr="00834834" w:rsidRDefault="00EB1E60" w:rsidP="007673A5">
            <w:pPr>
              <w:pStyle w:val="Subtitle"/>
              <w:rPr>
                <w:lang w:val="fr-BE"/>
              </w:rPr>
            </w:pPr>
            <w:r w:rsidRPr="00834834">
              <w:rPr>
                <w:lang w:val="fr-BE"/>
              </w:rPr>
              <w:t>Fonctions et attributions des ordonnateurs délégués et subdélégués</w:t>
            </w:r>
          </w:p>
          <w:p w14:paraId="2C935875" w14:textId="27640F45" w:rsidR="004A2404" w:rsidRPr="00193AA3" w:rsidRDefault="005872A4" w:rsidP="003C1D99">
            <w:pPr>
              <w:pStyle w:val="ListParagraph"/>
              <w:numPr>
                <w:ilvl w:val="0"/>
                <w:numId w:val="144"/>
              </w:numPr>
            </w:pPr>
            <w:r w:rsidRPr="00193AA3">
              <w:t>L</w:t>
            </w:r>
            <w:r w:rsidR="00D0034C" w:rsidRPr="00193AA3">
              <w:t>’</w:t>
            </w:r>
            <w:r w:rsidRPr="00193AA3">
              <w:t>ordonnateur délégué rapporte à l</w:t>
            </w:r>
            <w:r w:rsidR="00D0034C" w:rsidRPr="00193AA3">
              <w:t>’</w:t>
            </w:r>
            <w:r w:rsidRPr="00193AA3">
              <w:t>ordonnateur des Écoles européennes, sans préjudice de son obligation de rapporter également au Conseil d</w:t>
            </w:r>
            <w:r w:rsidR="00D0034C" w:rsidRPr="00193AA3">
              <w:t>’</w:t>
            </w:r>
            <w:r w:rsidRPr="00193AA3">
              <w:t>administration concerné.</w:t>
            </w:r>
          </w:p>
          <w:p w14:paraId="0E0B0761" w14:textId="44AA9751" w:rsidR="001957A8" w:rsidRPr="00193AA3" w:rsidRDefault="005872A4" w:rsidP="003C1D99">
            <w:pPr>
              <w:pStyle w:val="ListParagraph"/>
              <w:numPr>
                <w:ilvl w:val="0"/>
                <w:numId w:val="144"/>
              </w:numPr>
            </w:pPr>
            <w:r w:rsidRPr="00193AA3">
              <w:t>Les fonctions et attributions de l</w:t>
            </w:r>
            <w:r w:rsidR="00D0034C" w:rsidRPr="00193AA3">
              <w:t>’</w:t>
            </w:r>
            <w:r w:rsidRPr="00193AA3">
              <w:t>ordonnateur des Écoles européennes définies à l</w:t>
            </w:r>
            <w:r w:rsidR="00D0034C" w:rsidRPr="00193AA3">
              <w:t>’</w:t>
            </w:r>
            <w:r w:rsidRPr="00193AA3">
              <w:t>article 29 s</w:t>
            </w:r>
            <w:r w:rsidR="00D0034C" w:rsidRPr="00193AA3">
              <w:t>’</w:t>
            </w:r>
            <w:r w:rsidRPr="00193AA3">
              <w:t>appliquent aux ordonnateurs délégués et subdélégués mutatis mutandis, à l</w:t>
            </w:r>
            <w:r w:rsidR="00D0034C" w:rsidRPr="00193AA3">
              <w:t>’</w:t>
            </w:r>
            <w:r w:rsidRPr="00193AA3">
              <w:t>exception du paragraphe 6 de cet article.</w:t>
            </w:r>
          </w:p>
          <w:p w14:paraId="51D178F1" w14:textId="1702A06B" w:rsidR="001957A8" w:rsidRPr="00193AA3" w:rsidRDefault="005872A4" w:rsidP="003C1D99">
            <w:pPr>
              <w:pStyle w:val="ListParagraph"/>
              <w:numPr>
                <w:ilvl w:val="0"/>
                <w:numId w:val="144"/>
              </w:numPr>
            </w:pPr>
            <w:r w:rsidRPr="00193AA3">
              <w:t>Les ordonnateurs délégués transmettent toutes les informations dont le comptable a besoin pour remplir ses fonctions.</w:t>
            </w:r>
          </w:p>
          <w:p w14:paraId="4A338181" w14:textId="5AD0EB1B" w:rsidR="00D73FC4" w:rsidRPr="00193AA3" w:rsidRDefault="008F5ACC" w:rsidP="003C1D99">
            <w:pPr>
              <w:pStyle w:val="ListParagraph"/>
              <w:numPr>
                <w:ilvl w:val="0"/>
                <w:numId w:val="144"/>
              </w:numPr>
            </w:pPr>
            <w:r w:rsidRPr="00193AA3">
              <w:t>Dans le cadre de ce Règlement, l</w:t>
            </w:r>
            <w:r w:rsidR="00D0034C" w:rsidRPr="00193AA3">
              <w:t>’</w:t>
            </w:r>
            <w:r w:rsidRPr="00193AA3">
              <w:t xml:space="preserve">ordonnateur des Écoles européennes et les ordonnateurs délégués, et le cas échéant les ordonnateurs subdélégués, exercent </w:t>
            </w:r>
            <w:r w:rsidRPr="00193AA3">
              <w:lastRenderedPageBreak/>
              <w:t>leurs fonctions dans le respect de la Charte détaillant leurs tâches, leurs droits et leurs obligations, qui doit être proposée par le Secrétaire général et approuvée par le Conseil supérieur.</w:t>
            </w:r>
          </w:p>
          <w:p w14:paraId="2904ECDA" w14:textId="1BD85A87" w:rsidR="006F64D8" w:rsidRPr="00193AA3" w:rsidRDefault="00301168" w:rsidP="003C1D99">
            <w:pPr>
              <w:pStyle w:val="ListParagraph"/>
              <w:numPr>
                <w:ilvl w:val="0"/>
                <w:numId w:val="144"/>
              </w:numPr>
            </w:pPr>
            <w:r w:rsidRPr="00193AA3">
              <w:t>L</w:t>
            </w:r>
            <w:r w:rsidR="00D0034C" w:rsidRPr="00193AA3">
              <w:t>’</w:t>
            </w:r>
            <w:r w:rsidRPr="00193AA3">
              <w:t>ordonnateur délégué est notamment responsable de la mise en place dans son École de la structure organisationnelle et des systèmes de contrôle interne adaptés à l</w:t>
            </w:r>
            <w:r w:rsidR="00D0034C" w:rsidRPr="00193AA3">
              <w:t>’</w:t>
            </w:r>
            <w:r w:rsidRPr="00193AA3">
              <w:t>exécution de ses tâches, dans le cadre général défini par l</w:t>
            </w:r>
            <w:r w:rsidR="00D0034C" w:rsidRPr="00193AA3">
              <w:t>’</w:t>
            </w:r>
            <w:r w:rsidRPr="00193AA3">
              <w:t>ordonnateur des Écoles européennes comme l</w:t>
            </w:r>
            <w:r w:rsidR="00D0034C" w:rsidRPr="00193AA3">
              <w:t>’</w:t>
            </w:r>
            <w:r w:rsidRPr="00193AA3">
              <w:t>indique l</w:t>
            </w:r>
            <w:r w:rsidR="00D0034C" w:rsidRPr="00193AA3">
              <w:t>’</w:t>
            </w:r>
            <w:r w:rsidRPr="00193AA3">
              <w:t>article 29.</w:t>
            </w:r>
          </w:p>
          <w:p w14:paraId="293BC0DF" w14:textId="5615C036" w:rsidR="002C6B1E" w:rsidRPr="00193AA3" w:rsidRDefault="006370CE" w:rsidP="003C1D99">
            <w:pPr>
              <w:pStyle w:val="ListParagraph"/>
              <w:numPr>
                <w:ilvl w:val="0"/>
                <w:numId w:val="144"/>
              </w:numPr>
            </w:pPr>
            <w:r w:rsidRPr="00193AA3">
              <w:t>Dans le cadre des pouvoirs délégués, l</w:t>
            </w:r>
            <w:r w:rsidR="00D0034C" w:rsidRPr="00193AA3">
              <w:t>’</w:t>
            </w:r>
            <w:r w:rsidRPr="00193AA3">
              <w:t>ordonnateur délégué et l</w:t>
            </w:r>
            <w:r w:rsidR="00D0034C" w:rsidRPr="00193AA3">
              <w:t>’</w:t>
            </w:r>
            <w:r w:rsidRPr="00193AA3">
              <w:t>ordonnateur subdélégué assument l</w:t>
            </w:r>
            <w:r w:rsidR="00D0034C" w:rsidRPr="00193AA3">
              <w:t>’</w:t>
            </w:r>
            <w:r w:rsidRPr="00193AA3">
              <w:t>entière responsabilité de toute autorisation accordée.</w:t>
            </w:r>
          </w:p>
          <w:p w14:paraId="65F76636" w14:textId="0C482A82" w:rsidR="00D52DF5"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32</w:t>
            </w:r>
          </w:p>
          <w:p w14:paraId="5F191316" w14:textId="77777777" w:rsidR="004A2404" w:rsidRPr="00834834" w:rsidRDefault="004A2404" w:rsidP="007673A5">
            <w:pPr>
              <w:pStyle w:val="Subtitle"/>
              <w:rPr>
                <w:lang w:val="fr-BE"/>
              </w:rPr>
            </w:pPr>
            <w:r w:rsidRPr="00834834">
              <w:rPr>
                <w:lang w:val="fr-BE"/>
              </w:rPr>
              <w:t xml:space="preserve">Contrôles </w:t>
            </w:r>
            <w:r w:rsidRPr="00834834">
              <w:rPr>
                <w:i/>
                <w:iCs/>
                <w:lang w:val="fr-BE"/>
              </w:rPr>
              <w:t>ex ante</w:t>
            </w:r>
            <w:r w:rsidRPr="00834834">
              <w:rPr>
                <w:lang w:val="fr-BE"/>
              </w:rPr>
              <w:t xml:space="preserve"> et </w:t>
            </w:r>
            <w:r w:rsidRPr="00834834">
              <w:rPr>
                <w:i/>
                <w:iCs/>
                <w:lang w:val="fr-BE"/>
              </w:rPr>
              <w:t>ex post</w:t>
            </w:r>
          </w:p>
          <w:p w14:paraId="5FFE1B4A" w14:textId="37169632" w:rsidR="0052748B" w:rsidRPr="00834834" w:rsidRDefault="004A2404" w:rsidP="00ED4F09">
            <w:pPr>
              <w:pStyle w:val="ListParagraph"/>
              <w:numPr>
                <w:ilvl w:val="0"/>
                <w:numId w:val="36"/>
              </w:numPr>
              <w:rPr>
                <w:bCs/>
              </w:rPr>
            </w:pPr>
            <w:r w:rsidRPr="00834834">
              <w:t>Par initiation d’une opération, il faut entendre l’ensemble des opérations préparatoires à l’adoption des actes pris par l’ordonnateur responsable en exécution du budget.</w:t>
            </w:r>
          </w:p>
          <w:p w14:paraId="3269E018" w14:textId="788CDCBE" w:rsidR="004A2404" w:rsidRPr="00834834" w:rsidRDefault="00C22349" w:rsidP="00ED4F09">
            <w:pPr>
              <w:pStyle w:val="ListParagraph"/>
              <w:numPr>
                <w:ilvl w:val="0"/>
                <w:numId w:val="36"/>
              </w:numPr>
              <w:rPr>
                <w:bCs/>
              </w:rPr>
            </w:pPr>
            <w:r w:rsidRPr="00834834">
              <w:rPr>
                <w:bCs/>
              </w:rPr>
              <w:t xml:space="preserve">Le contrôle </w:t>
            </w:r>
            <w:r w:rsidRPr="00834834">
              <w:rPr>
                <w:bCs/>
                <w:i/>
                <w:iCs/>
              </w:rPr>
              <w:t>ex ante</w:t>
            </w:r>
            <w:r w:rsidRPr="00834834">
              <w:rPr>
                <w:bCs/>
              </w:rPr>
              <w:t xml:space="preserve"> comprend un système de vérifications</w:t>
            </w:r>
            <w:r w:rsidRPr="00834834">
              <w:t xml:space="preserve"> mis en place par l’ordonnateur responsable afin de vérifier les aspects opérationnels et financiers des opérations avant leur exécution.</w:t>
            </w:r>
          </w:p>
          <w:p w14:paraId="22C6B603" w14:textId="580CC1C9" w:rsidR="004A2404" w:rsidRPr="00834834" w:rsidRDefault="004A2404" w:rsidP="00ED4F09">
            <w:pPr>
              <w:pStyle w:val="ListParagraph"/>
              <w:numPr>
                <w:ilvl w:val="0"/>
                <w:numId w:val="36"/>
              </w:numPr>
              <w:rPr>
                <w:bCs/>
              </w:rPr>
            </w:pPr>
            <w:r w:rsidRPr="00834834">
              <w:t xml:space="preserve">Toute transaction est soumise à au moins un contrôle </w:t>
            </w:r>
            <w:r w:rsidRPr="00834834">
              <w:rPr>
                <w:i/>
                <w:iCs/>
              </w:rPr>
              <w:t xml:space="preserve">ex ante </w:t>
            </w:r>
            <w:r w:rsidRPr="00834834">
              <w:t>fondé sur un examen des documents et sur les résultats disponibles des contrôles déjà effectués, concernant les aspects opérationnels et financiers de l</w:t>
            </w:r>
            <w:r w:rsidR="00D0034C" w:rsidRPr="00834834">
              <w:t>’</w:t>
            </w:r>
            <w:r w:rsidRPr="00834834">
              <w:t xml:space="preserve">opération. En outre, l’ordonnateur responsable peut mettre en place des contrôles </w:t>
            </w:r>
            <w:r w:rsidRPr="00834834">
              <w:rPr>
                <w:i/>
                <w:iCs/>
              </w:rPr>
              <w:t xml:space="preserve">ex post </w:t>
            </w:r>
            <w:r w:rsidRPr="00834834">
              <w:t xml:space="preserve">pour vérifier les opérations déjà approuvées à la suite des contrôles </w:t>
            </w:r>
            <w:r w:rsidRPr="00834834">
              <w:rPr>
                <w:i/>
                <w:iCs/>
              </w:rPr>
              <w:t>ex ante</w:t>
            </w:r>
            <w:r w:rsidRPr="00834834">
              <w:t xml:space="preserve">. Ces contrôles </w:t>
            </w:r>
            <w:r w:rsidRPr="00834834">
              <w:rPr>
                <w:i/>
                <w:iCs/>
              </w:rPr>
              <w:t>ex post</w:t>
            </w:r>
            <w:r w:rsidRPr="00834834">
              <w:t xml:space="preserve"> peuvent être organisés par sondage en fonction d</w:t>
            </w:r>
            <w:r w:rsidR="00D0034C" w:rsidRPr="00834834">
              <w:t>’</w:t>
            </w:r>
            <w:r w:rsidRPr="00834834">
              <w:t>une analyse des risques.</w:t>
            </w:r>
          </w:p>
          <w:p w14:paraId="3C415AE5" w14:textId="77777777" w:rsidR="00D73F9D" w:rsidRPr="00834834" w:rsidRDefault="00D73F9D" w:rsidP="00193AA3">
            <w:pPr>
              <w:pStyle w:val="ListParagraph"/>
              <w:ind w:left="1117"/>
            </w:pPr>
            <w:r w:rsidRPr="00834834">
              <w:t xml:space="preserve">Le contrôle </w:t>
            </w:r>
            <w:r w:rsidRPr="00834834">
              <w:rPr>
                <w:i/>
                <w:iCs/>
              </w:rPr>
              <w:t>ex ante</w:t>
            </w:r>
            <w:r w:rsidRPr="00834834">
              <w:t xml:space="preserve"> a pour objet de constater notamment :</w:t>
            </w:r>
          </w:p>
          <w:p w14:paraId="3248D9CF" w14:textId="7EA26C32" w:rsidR="00D73F9D" w:rsidRPr="00193AA3" w:rsidRDefault="00D73F9D" w:rsidP="00ED4F09">
            <w:pPr>
              <w:pStyle w:val="numbering2"/>
              <w:numPr>
                <w:ilvl w:val="0"/>
                <w:numId w:val="134"/>
              </w:numPr>
              <w:ind w:left="2148"/>
            </w:pPr>
            <w:proofErr w:type="gramStart"/>
            <w:r w:rsidRPr="00834834">
              <w:t>la</w:t>
            </w:r>
            <w:proofErr w:type="gramEnd"/>
            <w:r w:rsidRPr="00834834">
              <w:t xml:space="preserve"> </w:t>
            </w:r>
            <w:r w:rsidRPr="00193AA3">
              <w:t>régularité et la conformité de la dépense et de la recette au regard des dispositions applicables, notamment du budget et des réglementations pertinentes et, le cas échéant, des conditions contractuelles ;</w:t>
            </w:r>
          </w:p>
          <w:p w14:paraId="2FD8B324" w14:textId="7F2E0848" w:rsidR="00D73F9D" w:rsidRPr="00834834" w:rsidRDefault="00D73F9D" w:rsidP="00ED4F09">
            <w:pPr>
              <w:pStyle w:val="numbering2"/>
              <w:numPr>
                <w:ilvl w:val="0"/>
                <w:numId w:val="134"/>
              </w:numPr>
              <w:ind w:left="2148"/>
            </w:pPr>
            <w:proofErr w:type="gramStart"/>
            <w:r w:rsidRPr="00193AA3">
              <w:t>l’application</w:t>
            </w:r>
            <w:proofErr w:type="gramEnd"/>
            <w:r w:rsidRPr="00193AA3">
              <w:t xml:space="preserve"> du principe </w:t>
            </w:r>
            <w:r w:rsidRPr="00834834">
              <w:t>de bonne gestion financière visé à l’article 2.</w:t>
            </w:r>
          </w:p>
          <w:p w14:paraId="275D36DC" w14:textId="71B88CE2" w:rsidR="0052748B" w:rsidRPr="00834834" w:rsidRDefault="00A1205D" w:rsidP="00193AA3">
            <w:pPr>
              <w:rPr>
                <w:lang w:val="fr-BE"/>
              </w:rPr>
            </w:pPr>
            <w:r w:rsidRPr="00834834">
              <w:rPr>
                <w:lang w:val="fr-BE"/>
              </w:rPr>
              <w:t xml:space="preserve">Les vérifications </w:t>
            </w:r>
            <w:r w:rsidRPr="00834834">
              <w:rPr>
                <w:i/>
                <w:iCs/>
                <w:lang w:val="fr-BE"/>
              </w:rPr>
              <w:t>ex post</w:t>
            </w:r>
            <w:r w:rsidRPr="00834834">
              <w:rPr>
                <w:lang w:val="fr-BE"/>
              </w:rPr>
              <w:t>, sur pièces et, si nécessaire, sur place, visent à vérifier la bonne exécution des opérations financées par le budget, et en particulier le respect des critères visés au présent paragraphe.</w:t>
            </w:r>
          </w:p>
          <w:p w14:paraId="3E0E540A" w14:textId="3932E7EE" w:rsidR="004A2404" w:rsidRPr="00834834" w:rsidRDefault="009B12D1" w:rsidP="00ED4F09">
            <w:pPr>
              <w:pStyle w:val="ListParagraph"/>
              <w:numPr>
                <w:ilvl w:val="0"/>
                <w:numId w:val="36"/>
              </w:numPr>
              <w:rPr>
                <w:bCs/>
              </w:rPr>
            </w:pPr>
            <w:r w:rsidRPr="00834834">
              <w:t xml:space="preserve">Pour une opération donnée, le contrôle </w:t>
            </w:r>
            <w:r w:rsidRPr="00834834">
              <w:rPr>
                <w:i/>
                <w:iCs/>
              </w:rPr>
              <w:t>ex ante</w:t>
            </w:r>
            <w:r w:rsidRPr="00834834">
              <w:t xml:space="preserve"> est effectué par des agents distincts de ceux qui ont initié l’opération. Les agents qui effectuent le contrôle </w:t>
            </w:r>
            <w:r w:rsidRPr="00834834">
              <w:rPr>
                <w:i/>
                <w:iCs/>
              </w:rPr>
              <w:t>ex ante</w:t>
            </w:r>
            <w:r w:rsidRPr="00834834">
              <w:t xml:space="preserve"> ne sont pas subordonnés à ceux qui ont initié l’opération.</w:t>
            </w:r>
          </w:p>
          <w:p w14:paraId="46BACD5D" w14:textId="70F865DB" w:rsidR="004A2404" w:rsidRPr="00834834" w:rsidRDefault="009B12D1" w:rsidP="00ED4F09">
            <w:pPr>
              <w:pStyle w:val="ListParagraph"/>
              <w:numPr>
                <w:ilvl w:val="0"/>
                <w:numId w:val="36"/>
              </w:numPr>
              <w:rPr>
                <w:bCs/>
              </w:rPr>
            </w:pPr>
            <w:r w:rsidRPr="00834834">
              <w:t xml:space="preserve">Les contrôles </w:t>
            </w:r>
            <w:r w:rsidRPr="00834834">
              <w:rPr>
                <w:i/>
                <w:iCs/>
              </w:rPr>
              <w:t>ex ante</w:t>
            </w:r>
            <w:r w:rsidRPr="00834834">
              <w:t xml:space="preserve"> sont effectués par des agents distincts de ceux qui sont chargés des contrôles </w:t>
            </w:r>
            <w:r w:rsidRPr="00834834">
              <w:rPr>
                <w:i/>
                <w:iCs/>
              </w:rPr>
              <w:t>ex post</w:t>
            </w:r>
            <w:r w:rsidRPr="00834834">
              <w:t xml:space="preserve">. Les agents chargés des contrôles </w:t>
            </w:r>
            <w:r w:rsidRPr="00834834">
              <w:rPr>
                <w:i/>
                <w:iCs/>
              </w:rPr>
              <w:t>ex post</w:t>
            </w:r>
            <w:r w:rsidRPr="00834834">
              <w:t xml:space="preserve"> ne sont pas subordonnés aux agents chargés des contrôles </w:t>
            </w:r>
            <w:r w:rsidRPr="00834834">
              <w:rPr>
                <w:i/>
                <w:iCs/>
              </w:rPr>
              <w:t>ex ante</w:t>
            </w:r>
            <w:r w:rsidRPr="00834834">
              <w:t>.</w:t>
            </w:r>
          </w:p>
          <w:p w14:paraId="07653870" w14:textId="04687EF2" w:rsidR="004A2404" w:rsidRPr="00834834" w:rsidRDefault="009B12D1" w:rsidP="00ED4F09">
            <w:pPr>
              <w:pStyle w:val="ListParagraph"/>
              <w:numPr>
                <w:ilvl w:val="0"/>
                <w:numId w:val="36"/>
              </w:numPr>
              <w:rPr>
                <w:bCs/>
              </w:rPr>
            </w:pPr>
            <w:r w:rsidRPr="00834834">
              <w:t>Tout agent responsable du contrôle de la gestion des opérations financières doit avoir les compétences professionnelles requises. En particulier, les agents qui exercent la fonction de contrôle financier</w:t>
            </w:r>
            <w:r w:rsidRPr="00834834">
              <w:rPr>
                <w:i/>
                <w:iCs/>
              </w:rPr>
              <w:t xml:space="preserve"> ex ante </w:t>
            </w:r>
            <w:r w:rsidRPr="00834834">
              <w:t xml:space="preserve">sont soumis au </w:t>
            </w:r>
            <w:r w:rsidRPr="00834834">
              <w:rPr>
                <w:bCs/>
              </w:rPr>
              <w:t>Code de normes professionnelles approuvé par le Conseil supérieur.</w:t>
            </w:r>
            <w:r w:rsidRPr="00834834">
              <w:t xml:space="preserve"> </w:t>
            </w:r>
            <w:r w:rsidRPr="00834834">
              <w:rPr>
                <w:bCs/>
              </w:rPr>
              <w:t>Ce code détermine, en matière de contrôle interne :</w:t>
            </w:r>
          </w:p>
          <w:p w14:paraId="5132D762" w14:textId="2E426EAE" w:rsidR="005C1713" w:rsidRPr="00834834" w:rsidRDefault="005C1713" w:rsidP="00ED4F09">
            <w:pPr>
              <w:pStyle w:val="numbering2"/>
              <w:numPr>
                <w:ilvl w:val="0"/>
                <w:numId w:val="135"/>
              </w:numPr>
              <w:ind w:left="2148"/>
            </w:pPr>
            <w:proofErr w:type="gramStart"/>
            <w:r w:rsidRPr="00834834">
              <w:t>le</w:t>
            </w:r>
            <w:proofErr w:type="gramEnd"/>
            <w:r w:rsidRPr="00834834">
              <w:t xml:space="preserve"> niveau de compétence technique et financière exigé des agents effectuant les </w:t>
            </w:r>
            <w:r w:rsidRPr="00193AA3">
              <w:rPr>
                <w:bCs/>
              </w:rPr>
              <w:t xml:space="preserve">contrôles </w:t>
            </w:r>
            <w:r w:rsidRPr="00193AA3">
              <w:rPr>
                <w:bCs/>
                <w:i/>
                <w:iCs/>
              </w:rPr>
              <w:t>ex ante</w:t>
            </w:r>
            <w:r w:rsidRPr="00193AA3">
              <w:rPr>
                <w:bCs/>
              </w:rPr>
              <w:t> ;</w:t>
            </w:r>
          </w:p>
          <w:p w14:paraId="267DBB5F" w14:textId="655E3A72" w:rsidR="005C1713" w:rsidRPr="00834834" w:rsidRDefault="005C1713" w:rsidP="00ED4F09">
            <w:pPr>
              <w:pStyle w:val="numbering2"/>
              <w:numPr>
                <w:ilvl w:val="0"/>
                <w:numId w:val="135"/>
              </w:numPr>
              <w:ind w:left="2148"/>
            </w:pPr>
            <w:proofErr w:type="gramStart"/>
            <w:r w:rsidRPr="00834834">
              <w:t>l</w:t>
            </w:r>
            <w:r w:rsidR="00D0034C" w:rsidRPr="00834834">
              <w:t>’</w:t>
            </w:r>
            <w:r w:rsidRPr="00834834">
              <w:t>obligation</w:t>
            </w:r>
            <w:proofErr w:type="gramEnd"/>
            <w:r w:rsidRPr="00834834">
              <w:t xml:space="preserve"> pour ces agents de suivre une formation continue ;</w:t>
            </w:r>
          </w:p>
          <w:p w14:paraId="4089ED26" w14:textId="3EB30DBE" w:rsidR="005C1713" w:rsidRPr="00834834" w:rsidRDefault="005C1713" w:rsidP="00ED4F09">
            <w:pPr>
              <w:pStyle w:val="numbering2"/>
              <w:numPr>
                <w:ilvl w:val="0"/>
                <w:numId w:val="135"/>
              </w:numPr>
              <w:ind w:left="2148"/>
            </w:pPr>
            <w:proofErr w:type="gramStart"/>
            <w:r w:rsidRPr="00834834">
              <w:t>les</w:t>
            </w:r>
            <w:proofErr w:type="gramEnd"/>
            <w:r w:rsidRPr="00834834">
              <w:t xml:space="preserve"> missions, rôles et tâches qui leur sont assignés ;</w:t>
            </w:r>
          </w:p>
          <w:p w14:paraId="03903147" w14:textId="5A4BD2B6" w:rsidR="00B95EB2" w:rsidRPr="00834834" w:rsidRDefault="005C1713" w:rsidP="00ED4F09">
            <w:pPr>
              <w:pStyle w:val="numbering2"/>
              <w:numPr>
                <w:ilvl w:val="0"/>
                <w:numId w:val="135"/>
              </w:numPr>
              <w:ind w:left="2148"/>
            </w:pPr>
            <w:proofErr w:type="gramStart"/>
            <w:r w:rsidRPr="00834834">
              <w:t>les</w:t>
            </w:r>
            <w:proofErr w:type="gramEnd"/>
            <w:r w:rsidRPr="00834834">
              <w:t xml:space="preserve"> règles de conduite, et en particulier de déontologie et d’intégrité, </w:t>
            </w:r>
            <w:r w:rsidRPr="00834834">
              <w:rPr>
                <w:bCs/>
              </w:rPr>
              <w:t>qu’ils doivent observer ainsi que les droits qui leur sont reconnus.</w:t>
            </w:r>
          </w:p>
          <w:p w14:paraId="447A26FD" w14:textId="3CE2BB7C" w:rsidR="004A2404" w:rsidRDefault="005C1713" w:rsidP="00ED4F09">
            <w:pPr>
              <w:pStyle w:val="ListParagraph"/>
              <w:numPr>
                <w:ilvl w:val="0"/>
                <w:numId w:val="36"/>
              </w:numPr>
            </w:pPr>
            <w:r w:rsidRPr="00193AA3">
              <w:lastRenderedPageBreak/>
              <w:t>L</w:t>
            </w:r>
            <w:r w:rsidR="00D0034C" w:rsidRPr="00193AA3">
              <w:t>’</w:t>
            </w:r>
            <w:r w:rsidRPr="00193AA3">
              <w:t>ordonnateur des Écoles européennes met en place les structures appropriées pour mettre à jour périodiquement, et pour diffuser aux ordonnateurs délégués, les informations appropriées concernant les Normes de contrôle interne et le Code de normes professionnelles, ainsi que les méthodes et techniques disponibles à cet effet.</w:t>
            </w:r>
          </w:p>
          <w:p w14:paraId="1D36968C" w14:textId="47936FF4" w:rsidR="004A2404" w:rsidRPr="00834834" w:rsidRDefault="004A2404" w:rsidP="007673A5">
            <w:pPr>
              <w:pStyle w:val="Subtitle"/>
              <w:rPr>
                <w:bCs/>
                <w:lang w:val="fr-BE"/>
              </w:rPr>
            </w:pPr>
            <w:r w:rsidRPr="00834834">
              <w:rPr>
                <w:lang w:val="fr-BE"/>
              </w:rPr>
              <w:t>Article</w:t>
            </w:r>
            <w:r w:rsidR="00D0034C" w:rsidRPr="00834834">
              <w:rPr>
                <w:lang w:val="fr-BE"/>
              </w:rPr>
              <w:t> </w:t>
            </w:r>
            <w:r w:rsidRPr="00834834">
              <w:rPr>
                <w:lang w:val="fr-BE"/>
              </w:rPr>
              <w:t>33</w:t>
            </w:r>
          </w:p>
          <w:p w14:paraId="523A3C25" w14:textId="77777777" w:rsidR="004A2404" w:rsidRPr="00834834" w:rsidRDefault="004A2404" w:rsidP="007673A5">
            <w:pPr>
              <w:pStyle w:val="Subtitle"/>
              <w:rPr>
                <w:bCs/>
                <w:lang w:val="fr-BE"/>
              </w:rPr>
            </w:pPr>
            <w:r w:rsidRPr="00834834">
              <w:rPr>
                <w:lang w:val="fr-BE"/>
              </w:rPr>
              <w:t>Obligations des ordonnateurs en matière de communication</w:t>
            </w:r>
          </w:p>
          <w:p w14:paraId="0B03463E" w14:textId="489DFAFC" w:rsidR="002C6B1E" w:rsidRPr="00834834" w:rsidRDefault="005219CF" w:rsidP="00ED4F09">
            <w:pPr>
              <w:pStyle w:val="ListParagraph"/>
              <w:numPr>
                <w:ilvl w:val="0"/>
                <w:numId w:val="37"/>
              </w:numPr>
            </w:pPr>
            <w:r w:rsidRPr="00834834">
              <w:t xml:space="preserve">Les ordonnateurs exécutent le budget conformément au présent Règlement et dans la limite des crédits ordonnancés. </w:t>
            </w:r>
          </w:p>
          <w:p w14:paraId="7E702153" w14:textId="55833B65" w:rsidR="00EC2F3A" w:rsidRPr="00834834" w:rsidRDefault="00EC2F3A" w:rsidP="00ED4F09">
            <w:pPr>
              <w:pStyle w:val="ListParagraph"/>
              <w:numPr>
                <w:ilvl w:val="0"/>
                <w:numId w:val="37"/>
              </w:numPr>
              <w:rPr>
                <w:bCs/>
                <w:strike/>
              </w:rPr>
            </w:pPr>
            <w:r w:rsidRPr="00834834">
              <w:rPr>
                <w:bCs/>
              </w:rPr>
              <w:t>Toutes les Écoles et le Bureau du Secrétaire général rédigent un rapport annuel d’activités. Les rapports annuels d’activités des Écoles sont approuvés par les Conseils d’administration. Après approbation par les Conseils d</w:t>
            </w:r>
            <w:r w:rsidR="00D0034C" w:rsidRPr="00834834">
              <w:rPr>
                <w:bCs/>
              </w:rPr>
              <w:t>’</w:t>
            </w:r>
            <w:r w:rsidRPr="00834834">
              <w:rPr>
                <w:bCs/>
              </w:rPr>
              <w:t>administration, tous les rapports annuels d</w:t>
            </w:r>
            <w:r w:rsidR="00D0034C" w:rsidRPr="00834834">
              <w:rPr>
                <w:bCs/>
              </w:rPr>
              <w:t>’</w:t>
            </w:r>
            <w:r w:rsidRPr="00834834">
              <w:rPr>
                <w:bCs/>
              </w:rPr>
              <w:t>activités sont transmis à l</w:t>
            </w:r>
            <w:r w:rsidR="00D0034C" w:rsidRPr="00834834">
              <w:rPr>
                <w:bCs/>
              </w:rPr>
              <w:t>’</w:t>
            </w:r>
            <w:r w:rsidRPr="00834834">
              <w:rPr>
                <w:bCs/>
              </w:rPr>
              <w:t xml:space="preserve">ordonnateur des Écoles européennes pour le 15 février au plus tard. </w:t>
            </w:r>
          </w:p>
          <w:p w14:paraId="15E55C9E" w14:textId="7E17A665" w:rsidR="002C6B1E" w:rsidRPr="00834834" w:rsidRDefault="00EC2F3A" w:rsidP="00ED4F09">
            <w:pPr>
              <w:pStyle w:val="ListParagraph"/>
              <w:numPr>
                <w:ilvl w:val="0"/>
                <w:numId w:val="37"/>
              </w:numPr>
            </w:pPr>
            <w:r w:rsidRPr="00834834">
              <w:t xml:space="preserve">Les rapports annuels d’activités contiennent des informations financières et de gestion, y compris les résultats des contrôles, et déclarent que, sauf disposition contraire dans une réserve formulée en liaison avec des domaines précis de recettes et de dépenses, </w:t>
            </w:r>
            <w:r w:rsidRPr="00834834">
              <w:rPr>
                <w:bCs/>
              </w:rPr>
              <w:t>l</w:t>
            </w:r>
            <w:r w:rsidR="00D0034C" w:rsidRPr="00834834">
              <w:rPr>
                <w:bCs/>
              </w:rPr>
              <w:t>’</w:t>
            </w:r>
            <w:r w:rsidRPr="00834834">
              <w:rPr>
                <w:bCs/>
              </w:rPr>
              <w:t>ordonnateur responsable a l</w:t>
            </w:r>
            <w:r w:rsidR="00D0034C" w:rsidRPr="00834834">
              <w:rPr>
                <w:bCs/>
              </w:rPr>
              <w:t>’</w:t>
            </w:r>
            <w:r w:rsidRPr="00834834">
              <w:rPr>
                <w:bCs/>
              </w:rPr>
              <w:t>assurance raisonnable que :</w:t>
            </w:r>
          </w:p>
          <w:p w14:paraId="65FA9DD7" w14:textId="71019E25" w:rsidR="00EC2F3A" w:rsidRPr="00490BD6" w:rsidRDefault="00EC2F3A" w:rsidP="00490BD6">
            <w:pPr>
              <w:pStyle w:val="numbering2"/>
              <w:numPr>
                <w:ilvl w:val="0"/>
                <w:numId w:val="136"/>
              </w:numPr>
              <w:ind w:left="2148"/>
            </w:pPr>
            <w:proofErr w:type="gramStart"/>
            <w:r w:rsidRPr="00834834">
              <w:t>les</w:t>
            </w:r>
            <w:proofErr w:type="gramEnd"/>
            <w:r w:rsidRPr="00834834">
              <w:t xml:space="preserve"> informations </w:t>
            </w:r>
            <w:r w:rsidRPr="00490BD6">
              <w:t>contenues dans le rapport donnent une image fidèle de la situation ;</w:t>
            </w:r>
          </w:p>
          <w:p w14:paraId="5A862DC0" w14:textId="46CC45DD" w:rsidR="00EC2F3A" w:rsidRPr="00490BD6" w:rsidRDefault="00EC2F3A" w:rsidP="00490BD6">
            <w:pPr>
              <w:pStyle w:val="numbering2"/>
              <w:numPr>
                <w:ilvl w:val="0"/>
                <w:numId w:val="136"/>
              </w:numPr>
              <w:ind w:left="2148"/>
            </w:pPr>
            <w:proofErr w:type="gramStart"/>
            <w:r w:rsidRPr="00490BD6">
              <w:t>les</w:t>
            </w:r>
            <w:proofErr w:type="gramEnd"/>
            <w:r w:rsidRPr="00490BD6">
              <w:t xml:space="preserve"> ressources allouées aux activités décrites dans le rapport ont été utilisées aux fins prévues et conformément au principe de bonne gestion financière ;</w:t>
            </w:r>
          </w:p>
          <w:p w14:paraId="6896071F" w14:textId="70B859D5" w:rsidR="00EC2F3A" w:rsidRPr="00834834" w:rsidRDefault="00EC2F3A" w:rsidP="00490BD6">
            <w:pPr>
              <w:pStyle w:val="numbering2"/>
              <w:numPr>
                <w:ilvl w:val="0"/>
                <w:numId w:val="136"/>
              </w:numPr>
              <w:ind w:left="2148"/>
            </w:pPr>
            <w:proofErr w:type="gramStart"/>
            <w:r w:rsidRPr="00490BD6">
              <w:t>les</w:t>
            </w:r>
            <w:proofErr w:type="gramEnd"/>
            <w:r w:rsidRPr="00490BD6">
              <w:t xml:space="preserve"> procédures</w:t>
            </w:r>
            <w:r w:rsidRPr="00834834">
              <w:t xml:space="preserve"> de contrôle mises en place offrent les garanties nécessaires quant à la légalité et à la régularité des opérations sous-jacentes.</w:t>
            </w:r>
          </w:p>
          <w:p w14:paraId="5E9C3170" w14:textId="00BA149B" w:rsidR="00EC2F3A" w:rsidRPr="00834834" w:rsidRDefault="00EC2F3A" w:rsidP="00193AA3">
            <w:pPr>
              <w:rPr>
                <w:lang w:val="fr-BE"/>
              </w:rPr>
            </w:pPr>
            <w:r w:rsidRPr="00834834">
              <w:rPr>
                <w:lang w:val="fr-BE"/>
              </w:rPr>
              <w:t>Les rapports annuels d</w:t>
            </w:r>
            <w:r w:rsidR="00D0034C" w:rsidRPr="00834834">
              <w:rPr>
                <w:lang w:val="fr-BE"/>
              </w:rPr>
              <w:t>’</w:t>
            </w:r>
            <w:r w:rsidRPr="00834834">
              <w:rPr>
                <w:lang w:val="fr-BE"/>
              </w:rPr>
              <w:t>activités indiquent les résultats des opérations par rapport aux objectifs qui ont été assignés, les risques associés à ces opérations, l</w:t>
            </w:r>
            <w:r w:rsidR="00D0034C" w:rsidRPr="00834834">
              <w:rPr>
                <w:lang w:val="fr-BE"/>
              </w:rPr>
              <w:t>’</w:t>
            </w:r>
            <w:r w:rsidRPr="00834834">
              <w:rPr>
                <w:lang w:val="fr-BE"/>
              </w:rPr>
              <w:t>utilisation des ressources mises à disposition et le fonctionnement efficient et efficace des systèmes de contrôle interne.</w:t>
            </w:r>
          </w:p>
          <w:p w14:paraId="29217539" w14:textId="3E88CDD3" w:rsidR="004A2404" w:rsidRPr="00834834" w:rsidRDefault="004A2404" w:rsidP="00ED4F09">
            <w:pPr>
              <w:pStyle w:val="ListParagraph"/>
              <w:numPr>
                <w:ilvl w:val="0"/>
                <w:numId w:val="39"/>
              </w:numPr>
            </w:pPr>
            <w:r w:rsidRPr="00834834">
              <w:t>L</w:t>
            </w:r>
            <w:r w:rsidR="00D0034C" w:rsidRPr="00834834">
              <w:t>’</w:t>
            </w:r>
            <w:r w:rsidRPr="00834834">
              <w:t>ordonnateur des Écoles européennes synthétise les rapports annuels d</w:t>
            </w:r>
            <w:r w:rsidR="00D0034C" w:rsidRPr="00834834">
              <w:t>’</w:t>
            </w:r>
            <w:r w:rsidRPr="00834834">
              <w:t>activités des Écoles et du Bureau et prépare un rapport annuel d</w:t>
            </w:r>
            <w:r w:rsidR="00D0034C" w:rsidRPr="00834834">
              <w:t>’</w:t>
            </w:r>
            <w:r w:rsidRPr="00834834">
              <w:t>activités global qui est transmis au Conseil supérieur pour la fin février de l</w:t>
            </w:r>
            <w:r w:rsidR="00D0034C" w:rsidRPr="00834834">
              <w:t>’</w:t>
            </w:r>
            <w:r w:rsidRPr="00834834">
              <w:t>année suivante. Ce rapport tire des conclusions quant à la réalisation des objectifs et à la mise en œuvre d</w:t>
            </w:r>
            <w:r w:rsidR="00D0034C" w:rsidRPr="00834834">
              <w:t>’</w:t>
            </w:r>
            <w:r w:rsidRPr="00834834">
              <w:t>une bonne gestion financière. Cette synthèse est également jointe aux comptes consolidés établis conformément à l’article 73, qui sont transmis au Conseil supérieur au plus tard le 31 juillet de l</w:t>
            </w:r>
            <w:r w:rsidR="00D0034C" w:rsidRPr="00834834">
              <w:t>’</w:t>
            </w:r>
            <w:r w:rsidRPr="00834834">
              <w:t>année suivant</w:t>
            </w:r>
            <w:r w:rsidR="00193AA3">
              <w:t>e.</w:t>
            </w:r>
          </w:p>
          <w:p w14:paraId="039AD5E4" w14:textId="4580B467" w:rsidR="004A2404" w:rsidRPr="00834834" w:rsidRDefault="004A2404" w:rsidP="00ED4F09">
            <w:pPr>
              <w:pStyle w:val="ListParagraph"/>
              <w:numPr>
                <w:ilvl w:val="0"/>
                <w:numId w:val="39"/>
              </w:numPr>
              <w:rPr>
                <w:bCs/>
              </w:rPr>
            </w:pPr>
            <w:r w:rsidRPr="00834834">
              <w:t>Sans préjudice du rapport annuel d</w:t>
            </w:r>
            <w:r w:rsidR="00D0034C" w:rsidRPr="00834834">
              <w:t>’</w:t>
            </w:r>
            <w:r w:rsidRPr="00834834">
              <w:t>activités, l</w:t>
            </w:r>
            <w:r w:rsidR="00D0034C" w:rsidRPr="00834834">
              <w:t>’</w:t>
            </w:r>
            <w:r w:rsidRPr="00834834">
              <w:t xml:space="preserve">ordonnateur des Écoles européennes fait régulièrement rapport au Conseil supérieur, pour la </w:t>
            </w:r>
            <w:r w:rsidRPr="00834834">
              <w:rPr>
                <w:bCs/>
              </w:rPr>
              <w:t>mi-juillet</w:t>
            </w:r>
            <w:r w:rsidRPr="00834834">
              <w:t xml:space="preserve"> de l</w:t>
            </w:r>
            <w:r w:rsidR="00D0034C" w:rsidRPr="00834834">
              <w:t>’</w:t>
            </w:r>
            <w:r w:rsidRPr="00834834">
              <w:t>exercice correspondant, au sujet des éléments suivants :</w:t>
            </w:r>
          </w:p>
          <w:p w14:paraId="676229DE" w14:textId="513B03E7" w:rsidR="002C6B1E" w:rsidRPr="00834834" w:rsidRDefault="004A2404" w:rsidP="00ED4F09">
            <w:pPr>
              <w:pStyle w:val="numbering2"/>
              <w:numPr>
                <w:ilvl w:val="2"/>
                <w:numId w:val="40"/>
              </w:numPr>
              <w:ind w:left="2153"/>
              <w:rPr>
                <w:bCs/>
              </w:rPr>
            </w:pPr>
            <w:r w:rsidRPr="00834834">
              <w:t>Une situation budgétaire montrant la consommation réelle des crédits par ligne budgétaire, leurs taux d</w:t>
            </w:r>
            <w:r w:rsidR="00D0034C" w:rsidRPr="00834834">
              <w:t>’</w:t>
            </w:r>
            <w:r w:rsidRPr="00834834">
              <w:t>utilisation réels ainsi qu</w:t>
            </w:r>
            <w:r w:rsidR="00D0034C" w:rsidRPr="00834834">
              <w:t>’</w:t>
            </w:r>
            <w:r w:rsidRPr="00834834">
              <w:t xml:space="preserve">une projection actualisée de cette consommation </w:t>
            </w:r>
            <w:r w:rsidRPr="00834834">
              <w:rPr>
                <w:bCs/>
              </w:rPr>
              <w:t>jusqu</w:t>
            </w:r>
            <w:r w:rsidR="00D0034C" w:rsidRPr="00834834">
              <w:rPr>
                <w:bCs/>
              </w:rPr>
              <w:t>’</w:t>
            </w:r>
            <w:r w:rsidRPr="00834834">
              <w:rPr>
                <w:bCs/>
              </w:rPr>
              <w:t>à la fin de l</w:t>
            </w:r>
            <w:r w:rsidR="00D0034C" w:rsidRPr="00834834">
              <w:rPr>
                <w:bCs/>
              </w:rPr>
              <w:t>’</w:t>
            </w:r>
            <w:r w:rsidRPr="00834834">
              <w:rPr>
                <w:bCs/>
              </w:rPr>
              <w:t>exercice ;</w:t>
            </w:r>
          </w:p>
          <w:p w14:paraId="2BBDF9EC" w14:textId="60118EC1" w:rsidR="002C6B1E" w:rsidRPr="00834834" w:rsidRDefault="00D70A05" w:rsidP="00ED4F09">
            <w:pPr>
              <w:pStyle w:val="numbering2"/>
              <w:numPr>
                <w:ilvl w:val="2"/>
                <w:numId w:val="40"/>
              </w:numPr>
              <w:ind w:left="2153"/>
              <w:rPr>
                <w:bCs/>
              </w:rPr>
            </w:pPr>
            <w:r w:rsidRPr="00834834">
              <w:rPr>
                <w:bCs/>
              </w:rPr>
              <w:t xml:space="preserve">Un rapport synthétique sur le fonctionnement des systèmes de contrôle interne du système des Écoles européennes et sur les principales constatations résultant des contrôles </w:t>
            </w:r>
            <w:r w:rsidRPr="00834834">
              <w:rPr>
                <w:bCs/>
                <w:i/>
                <w:iCs/>
              </w:rPr>
              <w:t>ex post</w:t>
            </w:r>
            <w:r w:rsidRPr="00834834">
              <w:rPr>
                <w:bCs/>
              </w:rPr>
              <w:t xml:space="preserve"> que les ordonnateurs ont pu mettre en place dans les Écoles et au Bureau du Secrétaire général.</w:t>
            </w:r>
          </w:p>
          <w:p w14:paraId="7C9F9CF4" w14:textId="74FBA56D" w:rsidR="004A2404" w:rsidRDefault="004A2404" w:rsidP="00F66D25">
            <w:pPr>
              <w:autoSpaceDE w:val="0"/>
              <w:autoSpaceDN w:val="0"/>
              <w:adjustRightInd w:val="0"/>
              <w:spacing w:after="240"/>
              <w:rPr>
                <w:rFonts w:ascii="Times New Roman" w:hAnsi="Times New Roman"/>
                <w:sz w:val="24"/>
                <w:szCs w:val="24"/>
                <w:lang w:val="fr-BE"/>
              </w:rPr>
            </w:pPr>
            <w:r w:rsidRPr="006C259D">
              <w:rPr>
                <w:lang w:val="fr-BE"/>
              </w:rPr>
              <w:t>Toute constatation significative résultant d</w:t>
            </w:r>
            <w:r w:rsidR="00D0034C" w:rsidRPr="006C259D">
              <w:rPr>
                <w:lang w:val="fr-BE"/>
              </w:rPr>
              <w:t>’</w:t>
            </w:r>
            <w:r w:rsidRPr="006C259D">
              <w:rPr>
                <w:lang w:val="fr-BE"/>
              </w:rPr>
              <w:t>autres contrôles ou audits effectués au sein du système des Écoles européennes est rapidement signalée</w:t>
            </w:r>
            <w:r w:rsidRPr="006C259D">
              <w:rPr>
                <w:rFonts w:ascii="Times New Roman" w:hAnsi="Times New Roman"/>
                <w:sz w:val="24"/>
                <w:szCs w:val="24"/>
                <w:lang w:val="fr-BE"/>
              </w:rPr>
              <w:t>.</w:t>
            </w:r>
          </w:p>
          <w:p w14:paraId="750647D9" w14:textId="0CFF41F4" w:rsidR="0039221D" w:rsidRDefault="0039221D" w:rsidP="00F66D25">
            <w:pPr>
              <w:autoSpaceDE w:val="0"/>
              <w:autoSpaceDN w:val="0"/>
              <w:adjustRightInd w:val="0"/>
              <w:spacing w:after="240"/>
              <w:rPr>
                <w:rFonts w:ascii="Times New Roman" w:hAnsi="Times New Roman"/>
                <w:bCs/>
                <w:sz w:val="24"/>
                <w:szCs w:val="24"/>
                <w:lang w:val="fr-BE"/>
              </w:rPr>
            </w:pPr>
          </w:p>
          <w:p w14:paraId="3791D355" w14:textId="77777777" w:rsidR="0039221D" w:rsidRPr="006C259D" w:rsidRDefault="0039221D" w:rsidP="00F66D25">
            <w:pPr>
              <w:autoSpaceDE w:val="0"/>
              <w:autoSpaceDN w:val="0"/>
              <w:adjustRightInd w:val="0"/>
              <w:spacing w:after="240"/>
              <w:rPr>
                <w:rFonts w:ascii="Times New Roman" w:hAnsi="Times New Roman"/>
                <w:bCs/>
                <w:sz w:val="24"/>
                <w:szCs w:val="24"/>
                <w:lang w:val="fr-BE"/>
              </w:rPr>
            </w:pPr>
          </w:p>
          <w:p w14:paraId="125535F4" w14:textId="0BFAE9F4" w:rsidR="004A2404" w:rsidRPr="00834834" w:rsidRDefault="004A2404" w:rsidP="007673A5">
            <w:pPr>
              <w:pStyle w:val="Subtitle"/>
              <w:rPr>
                <w:bCs/>
                <w:lang w:val="fr-BE"/>
              </w:rPr>
            </w:pPr>
            <w:r w:rsidRPr="00834834">
              <w:rPr>
                <w:lang w:val="fr-BE"/>
              </w:rPr>
              <w:lastRenderedPageBreak/>
              <w:t>Article</w:t>
            </w:r>
            <w:r w:rsidR="00D0034C" w:rsidRPr="00834834">
              <w:rPr>
                <w:lang w:val="fr-BE"/>
              </w:rPr>
              <w:t> </w:t>
            </w:r>
            <w:r w:rsidRPr="00834834">
              <w:rPr>
                <w:lang w:val="fr-BE"/>
              </w:rPr>
              <w:t>34</w:t>
            </w:r>
          </w:p>
          <w:p w14:paraId="6A03881C" w14:textId="77777777" w:rsidR="004A2404" w:rsidRPr="00834834" w:rsidRDefault="004A2404" w:rsidP="007673A5">
            <w:pPr>
              <w:pStyle w:val="Subtitle"/>
              <w:rPr>
                <w:bCs/>
                <w:lang w:val="fr-BE"/>
              </w:rPr>
            </w:pPr>
            <w:r w:rsidRPr="00834834">
              <w:rPr>
                <w:lang w:val="fr-BE"/>
              </w:rPr>
              <w:t>Protection des intérêts financiers des Écoles</w:t>
            </w:r>
          </w:p>
          <w:p w14:paraId="24899C66" w14:textId="23153628" w:rsidR="006F0F4C" w:rsidRPr="00834834" w:rsidRDefault="004A2404" w:rsidP="00193AA3">
            <w:pPr>
              <w:rPr>
                <w:lang w:val="fr-BE"/>
              </w:rPr>
            </w:pPr>
            <w:r w:rsidRPr="00834834">
              <w:rPr>
                <w:lang w:val="fr-BE"/>
              </w:rPr>
              <w:t>Si un agent partie à la gestion financière et au contrôle des opérations estime qu</w:t>
            </w:r>
            <w:r w:rsidR="00D0034C" w:rsidRPr="00834834">
              <w:rPr>
                <w:lang w:val="fr-BE"/>
              </w:rPr>
              <w:t>’</w:t>
            </w:r>
            <w:r w:rsidRPr="00834834">
              <w:rPr>
                <w:lang w:val="fr-BE"/>
              </w:rPr>
              <w:t>une décision que son supérieur lui impose d</w:t>
            </w:r>
            <w:r w:rsidR="00D0034C" w:rsidRPr="00834834">
              <w:rPr>
                <w:lang w:val="fr-BE"/>
              </w:rPr>
              <w:t>’</w:t>
            </w:r>
            <w:r w:rsidRPr="00834834">
              <w:rPr>
                <w:lang w:val="fr-BE"/>
              </w:rPr>
              <w:t>appliquer ou d</w:t>
            </w:r>
            <w:r w:rsidR="00D0034C" w:rsidRPr="00834834">
              <w:rPr>
                <w:lang w:val="fr-BE"/>
              </w:rPr>
              <w:t>’</w:t>
            </w:r>
            <w:r w:rsidRPr="00834834">
              <w:rPr>
                <w:lang w:val="fr-BE"/>
              </w:rPr>
              <w:t>accepter est irrégulière ou contraire au principe de bonne gestion financière ou aux règles professionnelles que cet agent est tenu de respecter, il en informe par écrit l</w:t>
            </w:r>
            <w:r w:rsidR="00D0034C" w:rsidRPr="00834834">
              <w:rPr>
                <w:lang w:val="fr-BE"/>
              </w:rPr>
              <w:t>’</w:t>
            </w:r>
            <w:r w:rsidRPr="00834834">
              <w:rPr>
                <w:lang w:val="fr-BE"/>
              </w:rPr>
              <w:t>ordonnateur compétent et, en cas d</w:t>
            </w:r>
            <w:r w:rsidR="00D0034C" w:rsidRPr="00834834">
              <w:rPr>
                <w:lang w:val="fr-BE"/>
              </w:rPr>
              <w:t>’</w:t>
            </w:r>
            <w:r w:rsidRPr="00834834">
              <w:rPr>
                <w:lang w:val="fr-BE"/>
              </w:rPr>
              <w:t>inaction de celui-ci ou si celui-ci confirme la décision ou instruction initiale et si l</w:t>
            </w:r>
            <w:r w:rsidR="00D0034C" w:rsidRPr="00834834">
              <w:rPr>
                <w:lang w:val="fr-BE"/>
              </w:rPr>
              <w:t>’</w:t>
            </w:r>
            <w:r w:rsidRPr="00834834">
              <w:rPr>
                <w:lang w:val="fr-BE"/>
              </w:rPr>
              <w:t>agent pense que cette confirmation ne constitue pas une réponse raisonnable à ses préoccupations, l</w:t>
            </w:r>
            <w:r w:rsidR="00D0034C" w:rsidRPr="00834834">
              <w:rPr>
                <w:lang w:val="fr-BE"/>
              </w:rPr>
              <w:t>’</w:t>
            </w:r>
            <w:r w:rsidRPr="00834834">
              <w:rPr>
                <w:lang w:val="fr-BE"/>
              </w:rPr>
              <w:t>agent en informe par écrit le Secrétaire général. À cette fin, l’inaction d’un ordonnateur s’entend comme l’absence de toute réponse dans un délai raisonnable eu égard aux circonstances de l’espèce et, en tout état de cause, dans un délai ne dépassant pas un mois.</w:t>
            </w:r>
          </w:p>
          <w:p w14:paraId="4E41C30E" w14:textId="65B85760" w:rsidR="004A2404" w:rsidRPr="00834834" w:rsidRDefault="006F0F4C" w:rsidP="00193AA3">
            <w:pPr>
              <w:rPr>
                <w:bCs/>
                <w:lang w:val="fr-BE"/>
              </w:rPr>
            </w:pPr>
            <w:r w:rsidRPr="00834834">
              <w:rPr>
                <w:lang w:val="fr-BE"/>
              </w:rPr>
              <w:t>Dans le cas d</w:t>
            </w:r>
            <w:r w:rsidR="00D0034C" w:rsidRPr="00834834">
              <w:rPr>
                <w:lang w:val="fr-BE"/>
              </w:rPr>
              <w:t>’</w:t>
            </w:r>
            <w:r w:rsidRPr="00834834">
              <w:rPr>
                <w:lang w:val="fr-BE"/>
              </w:rPr>
              <w:t>une activité illégale, de fraude ou de corruption susceptibles de nuire aux intérêts des Écoles ou des parties contractantes visées à l’article 25 de la Convention portant Statut des Écoles européennes, l</w:t>
            </w:r>
            <w:r w:rsidR="00D0034C" w:rsidRPr="00834834">
              <w:rPr>
                <w:lang w:val="fr-BE"/>
              </w:rPr>
              <w:t>’</w:t>
            </w:r>
            <w:r w:rsidRPr="00834834">
              <w:rPr>
                <w:lang w:val="fr-BE"/>
              </w:rPr>
              <w:t xml:space="preserve">agent informe les autorités et les instances désignées par la législation en vigueur. Un système approprié est instauré </w:t>
            </w:r>
            <w:r w:rsidRPr="00834834">
              <w:rPr>
                <w:bCs/>
                <w:lang w:val="fr-BE"/>
              </w:rPr>
              <w:t>par le biais d</w:t>
            </w:r>
            <w:r w:rsidR="00D0034C" w:rsidRPr="00834834">
              <w:rPr>
                <w:bCs/>
                <w:lang w:val="fr-BE"/>
              </w:rPr>
              <w:t>’</w:t>
            </w:r>
            <w:r w:rsidRPr="00834834">
              <w:rPr>
                <w:bCs/>
                <w:lang w:val="fr-BE"/>
              </w:rPr>
              <w:t xml:space="preserve">un mémorandum émanant du </w:t>
            </w:r>
            <w:r w:rsidRPr="00834834">
              <w:rPr>
                <w:lang w:val="fr-BE"/>
              </w:rPr>
              <w:t xml:space="preserve">Secrétaire général pour assurer la protection des personnes qui communiquent les irrégularités visées au présent </w:t>
            </w:r>
            <w:r w:rsidRPr="00834834">
              <w:rPr>
                <w:bCs/>
                <w:lang w:val="fr-BE"/>
              </w:rPr>
              <w:t>article.</w:t>
            </w:r>
          </w:p>
          <w:p w14:paraId="4BE4CD4C" w14:textId="66E17C53"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 xml:space="preserve">35 </w:t>
            </w:r>
          </w:p>
          <w:p w14:paraId="23A4B4F4" w14:textId="493F40CF" w:rsidR="004A2404" w:rsidRPr="00834834" w:rsidRDefault="00665F8E" w:rsidP="007673A5">
            <w:pPr>
              <w:pStyle w:val="Subtitle"/>
              <w:rPr>
                <w:lang w:val="fr-BE"/>
              </w:rPr>
            </w:pPr>
            <w:r w:rsidRPr="00834834">
              <w:rPr>
                <w:bCs/>
                <w:lang w:val="fr-BE"/>
              </w:rPr>
              <w:t>Comptable</w:t>
            </w:r>
          </w:p>
          <w:p w14:paraId="5DE79B78" w14:textId="40EC11A8" w:rsidR="001957A8" w:rsidRPr="006C259D" w:rsidRDefault="001957A8" w:rsidP="006C259D">
            <w:pPr>
              <w:pStyle w:val="ListParagraph"/>
              <w:numPr>
                <w:ilvl w:val="0"/>
                <w:numId w:val="137"/>
              </w:numPr>
              <w:rPr>
                <w:rStyle w:val="Corpsdutexte"/>
                <w:rFonts w:cs="Times New Roman"/>
                <w:sz w:val="22"/>
                <w:szCs w:val="20"/>
                <w:shd w:val="clear" w:color="auto" w:fill="auto"/>
              </w:rPr>
            </w:pPr>
            <w:r w:rsidRPr="006C259D">
              <w:rPr>
                <w:rStyle w:val="Corpsdutexte"/>
                <w:rFonts w:cs="Times New Roman"/>
                <w:sz w:val="22"/>
                <w:szCs w:val="20"/>
                <w:shd w:val="clear" w:color="auto" w:fill="auto"/>
              </w:rPr>
              <w:t>Le Conseil supérieur désigne un comptable pour les Écoles européennes, qui est totalement indépendant dans l’exercice de ses fonctions.</w:t>
            </w:r>
          </w:p>
          <w:p w14:paraId="2E276E5B" w14:textId="3C8538FA" w:rsidR="004A2404" w:rsidRPr="006C259D" w:rsidRDefault="004A2404" w:rsidP="006C259D">
            <w:pPr>
              <w:pStyle w:val="ListParagraph"/>
              <w:numPr>
                <w:ilvl w:val="0"/>
                <w:numId w:val="137"/>
              </w:numPr>
              <w:rPr>
                <w:rStyle w:val="Corpsdutexte"/>
                <w:rFonts w:cs="Times New Roman"/>
                <w:sz w:val="22"/>
                <w:szCs w:val="20"/>
                <w:shd w:val="clear" w:color="auto" w:fill="auto"/>
              </w:rPr>
            </w:pPr>
            <w:r w:rsidRPr="006C259D">
              <w:rPr>
                <w:rStyle w:val="Corpsdutexte"/>
                <w:rFonts w:cs="Times New Roman"/>
                <w:sz w:val="22"/>
                <w:szCs w:val="20"/>
                <w:shd w:val="clear" w:color="auto" w:fill="auto"/>
              </w:rPr>
              <w:t xml:space="preserve">Le comptable est responsable : </w:t>
            </w:r>
          </w:p>
          <w:p w14:paraId="569999AA" w14:textId="77777777" w:rsidR="007A22C1" w:rsidRPr="00193AA3" w:rsidRDefault="004A2404" w:rsidP="00ED4F09">
            <w:pPr>
              <w:pStyle w:val="numbering2"/>
              <w:numPr>
                <w:ilvl w:val="0"/>
                <w:numId w:val="42"/>
              </w:numPr>
              <w:ind w:left="2153"/>
              <w:rPr>
                <w:rStyle w:val="Corpsdutexte"/>
                <w:rFonts w:cs="Times New Roman"/>
                <w:sz w:val="22"/>
                <w:szCs w:val="20"/>
                <w:shd w:val="clear" w:color="auto" w:fill="auto"/>
              </w:rPr>
            </w:pPr>
            <w:proofErr w:type="gramStart"/>
            <w:r w:rsidRPr="00193AA3">
              <w:rPr>
                <w:rStyle w:val="Corpsdutexte"/>
                <w:rFonts w:cs="Times New Roman"/>
                <w:sz w:val="22"/>
                <w:szCs w:val="20"/>
                <w:shd w:val="clear" w:color="auto" w:fill="auto"/>
              </w:rPr>
              <w:t>de</w:t>
            </w:r>
            <w:proofErr w:type="gramEnd"/>
            <w:r w:rsidRPr="00193AA3">
              <w:rPr>
                <w:rStyle w:val="Corpsdutexte"/>
                <w:rFonts w:cs="Times New Roman"/>
                <w:sz w:val="22"/>
                <w:szCs w:val="20"/>
                <w:shd w:val="clear" w:color="auto" w:fill="auto"/>
              </w:rPr>
              <w:t xml:space="preserve"> la bonne exécution des paiements, de l</w:t>
            </w:r>
            <w:r w:rsidR="00D0034C" w:rsidRPr="00193AA3">
              <w:rPr>
                <w:rStyle w:val="Corpsdutexte"/>
                <w:rFonts w:cs="Times New Roman"/>
                <w:sz w:val="22"/>
                <w:szCs w:val="20"/>
                <w:shd w:val="clear" w:color="auto" w:fill="auto"/>
              </w:rPr>
              <w:t>’</w:t>
            </w:r>
            <w:r w:rsidRPr="00193AA3">
              <w:rPr>
                <w:rStyle w:val="Corpsdutexte"/>
                <w:rFonts w:cs="Times New Roman"/>
                <w:sz w:val="22"/>
                <w:szCs w:val="20"/>
                <w:shd w:val="clear" w:color="auto" w:fill="auto"/>
              </w:rPr>
              <w:t>encaissement des recettes et du recouvrement des créances constatées ;</w:t>
            </w:r>
          </w:p>
          <w:p w14:paraId="634407CB" w14:textId="77777777" w:rsidR="007A22C1" w:rsidRPr="00193AA3" w:rsidRDefault="004A2404" w:rsidP="00ED4F09">
            <w:pPr>
              <w:pStyle w:val="numbering2"/>
              <w:numPr>
                <w:ilvl w:val="0"/>
                <w:numId w:val="42"/>
              </w:numPr>
              <w:ind w:left="2153"/>
              <w:rPr>
                <w:rStyle w:val="Corpsdutexte"/>
                <w:rFonts w:cs="Times New Roman"/>
                <w:sz w:val="22"/>
                <w:szCs w:val="20"/>
                <w:shd w:val="clear" w:color="auto" w:fill="auto"/>
              </w:rPr>
            </w:pPr>
            <w:proofErr w:type="gramStart"/>
            <w:r w:rsidRPr="00193AA3">
              <w:rPr>
                <w:rStyle w:val="Corpsdutexte"/>
                <w:rFonts w:cs="Times New Roman"/>
                <w:sz w:val="22"/>
                <w:szCs w:val="20"/>
                <w:shd w:val="clear" w:color="auto" w:fill="auto"/>
              </w:rPr>
              <w:t>de</w:t>
            </w:r>
            <w:proofErr w:type="gramEnd"/>
            <w:r w:rsidRPr="00193AA3">
              <w:rPr>
                <w:rStyle w:val="Corpsdutexte"/>
                <w:rFonts w:cs="Times New Roman"/>
                <w:sz w:val="22"/>
                <w:szCs w:val="20"/>
                <w:shd w:val="clear" w:color="auto" w:fill="auto"/>
              </w:rPr>
              <w:t xml:space="preserve"> la préparation, de la présentation et de la tenue des comptes conformément au Titre V du présent Règlement ;</w:t>
            </w:r>
          </w:p>
          <w:p w14:paraId="2667F152" w14:textId="77777777" w:rsidR="007A22C1" w:rsidRPr="00193AA3" w:rsidRDefault="00F03D5D" w:rsidP="00ED4F09">
            <w:pPr>
              <w:pStyle w:val="numbering2"/>
              <w:numPr>
                <w:ilvl w:val="0"/>
                <w:numId w:val="42"/>
              </w:numPr>
              <w:ind w:left="2153"/>
              <w:rPr>
                <w:rStyle w:val="Corpsdutexte"/>
                <w:rFonts w:cs="Times New Roman"/>
                <w:sz w:val="22"/>
                <w:szCs w:val="20"/>
                <w:shd w:val="clear" w:color="auto" w:fill="auto"/>
              </w:rPr>
            </w:pPr>
            <w:proofErr w:type="gramStart"/>
            <w:r w:rsidRPr="00193AA3">
              <w:rPr>
                <w:rStyle w:val="Corpsdutexte"/>
                <w:rFonts w:cs="Times New Roman"/>
                <w:sz w:val="22"/>
                <w:szCs w:val="20"/>
                <w:shd w:val="clear" w:color="auto" w:fill="auto"/>
              </w:rPr>
              <w:t>de</w:t>
            </w:r>
            <w:proofErr w:type="gramEnd"/>
            <w:r w:rsidRPr="00193AA3">
              <w:rPr>
                <w:rStyle w:val="Corpsdutexte"/>
                <w:rFonts w:cs="Times New Roman"/>
                <w:sz w:val="22"/>
                <w:szCs w:val="20"/>
                <w:shd w:val="clear" w:color="auto" w:fill="auto"/>
              </w:rPr>
              <w:t xml:space="preserve"> la définition et de la validation des systèmes comptables ainsi que, le cas échéant, de la validation des systèmes définis par l</w:t>
            </w:r>
            <w:r w:rsidR="00D0034C" w:rsidRPr="00193AA3">
              <w:rPr>
                <w:rStyle w:val="Corpsdutexte"/>
                <w:rFonts w:cs="Times New Roman"/>
                <w:sz w:val="22"/>
                <w:szCs w:val="20"/>
                <w:shd w:val="clear" w:color="auto" w:fill="auto"/>
              </w:rPr>
              <w:t>’</w:t>
            </w:r>
            <w:r w:rsidRPr="00193AA3">
              <w:rPr>
                <w:rStyle w:val="Corpsdutexte"/>
                <w:rFonts w:cs="Times New Roman"/>
                <w:sz w:val="22"/>
                <w:szCs w:val="20"/>
                <w:shd w:val="clear" w:color="auto" w:fill="auto"/>
              </w:rPr>
              <w:t xml:space="preserve">ordonnateur et destinés à fournir ou justifier des informations comptables ; à cet égard, le comptable est habilité à vérifier à tout moment le respect des critères de validation ; </w:t>
            </w:r>
          </w:p>
          <w:p w14:paraId="615E463B" w14:textId="77777777" w:rsidR="007A22C1" w:rsidRPr="00193AA3" w:rsidRDefault="00872316" w:rsidP="00ED4F09">
            <w:pPr>
              <w:pStyle w:val="numbering2"/>
              <w:numPr>
                <w:ilvl w:val="0"/>
                <w:numId w:val="42"/>
              </w:numPr>
              <w:ind w:left="2153"/>
              <w:rPr>
                <w:rStyle w:val="Corpsdutexte"/>
                <w:rFonts w:cs="Times New Roman"/>
                <w:sz w:val="22"/>
                <w:szCs w:val="20"/>
                <w:shd w:val="clear" w:color="auto" w:fill="auto"/>
              </w:rPr>
            </w:pPr>
            <w:proofErr w:type="gramStart"/>
            <w:r w:rsidRPr="00193AA3">
              <w:rPr>
                <w:rStyle w:val="Corpsdutexte"/>
                <w:rFonts w:cs="Times New Roman"/>
                <w:sz w:val="22"/>
                <w:szCs w:val="20"/>
                <w:shd w:val="clear" w:color="auto" w:fill="auto"/>
              </w:rPr>
              <w:t>du</w:t>
            </w:r>
            <w:proofErr w:type="gramEnd"/>
            <w:r w:rsidRPr="00193AA3">
              <w:rPr>
                <w:rStyle w:val="Corpsdutexte"/>
                <w:rFonts w:cs="Times New Roman"/>
                <w:sz w:val="22"/>
                <w:szCs w:val="20"/>
                <w:shd w:val="clear" w:color="auto" w:fill="auto"/>
              </w:rPr>
              <w:t xml:space="preserve"> maniement de la trésorerie et de sa conservation</w:t>
            </w:r>
            <w:r w:rsidR="001957A8" w:rsidRPr="00193AA3">
              <w:rPr>
                <w:rStyle w:val="Corpsdutexte"/>
                <w:rFonts w:cs="Times New Roman"/>
                <w:sz w:val="22"/>
                <w:szCs w:val="20"/>
                <w:shd w:val="clear" w:color="auto" w:fill="auto"/>
              </w:rPr>
              <w:t> ; et</w:t>
            </w:r>
          </w:p>
          <w:p w14:paraId="458720B3" w14:textId="06A775C9" w:rsidR="00844012" w:rsidRPr="00193AA3" w:rsidRDefault="00872316" w:rsidP="00ED4F09">
            <w:pPr>
              <w:pStyle w:val="numbering2"/>
              <w:numPr>
                <w:ilvl w:val="0"/>
                <w:numId w:val="42"/>
              </w:numPr>
              <w:ind w:left="2153"/>
            </w:pPr>
            <w:proofErr w:type="gramStart"/>
            <w:r w:rsidRPr="00193AA3">
              <w:t>de</w:t>
            </w:r>
            <w:proofErr w:type="gramEnd"/>
            <w:r w:rsidRPr="00193AA3">
              <w:t xml:space="preserve"> fixer les règles comptables, les procédures et les plans comptables harmonisés conformément au Titre V </w:t>
            </w:r>
            <w:r w:rsidRPr="00193AA3">
              <w:rPr>
                <w:rStyle w:val="Corpsdutexte"/>
                <w:rFonts w:cs="Times New Roman"/>
                <w:sz w:val="22"/>
                <w:szCs w:val="20"/>
                <w:shd w:val="clear" w:color="auto" w:fill="auto"/>
              </w:rPr>
              <w:t>du présent Règlement</w:t>
            </w:r>
            <w:r w:rsidRPr="00193AA3">
              <w:t>.</w:t>
            </w:r>
          </w:p>
          <w:p w14:paraId="3EA1A04F" w14:textId="4D4F4C19" w:rsidR="00844012" w:rsidRPr="00193AA3" w:rsidRDefault="004A2404" w:rsidP="006C259D">
            <w:pPr>
              <w:pStyle w:val="ListParagraph"/>
              <w:numPr>
                <w:ilvl w:val="0"/>
                <w:numId w:val="137"/>
              </w:numPr>
              <w:rPr>
                <w:rStyle w:val="Corpsdutexte"/>
                <w:rFonts w:cs="Times New Roman"/>
                <w:sz w:val="22"/>
                <w:szCs w:val="20"/>
                <w:shd w:val="clear" w:color="auto" w:fill="auto"/>
              </w:rPr>
            </w:pPr>
            <w:r w:rsidRPr="00193AA3">
              <w:rPr>
                <w:rStyle w:val="Corpsdutexte"/>
                <w:rFonts w:cs="Times New Roman"/>
                <w:sz w:val="22"/>
                <w:szCs w:val="20"/>
                <w:shd w:val="clear" w:color="auto" w:fill="auto"/>
              </w:rPr>
              <w:t xml:space="preserve">Le comptable obtient de l’ordonnateur responsable toutes les informations nécessaires à l’établissement de comptes présentant une </w:t>
            </w:r>
            <w:r w:rsidR="00844012" w:rsidRPr="00193AA3">
              <w:rPr>
                <w:rStyle w:val="Corpsdutexte"/>
                <w:rFonts w:cs="Times New Roman"/>
                <w:sz w:val="22"/>
                <w:szCs w:val="20"/>
                <w:shd w:val="clear" w:color="auto" w:fill="auto"/>
              </w:rPr>
              <w:t xml:space="preserve">présentation fidèle et sincère </w:t>
            </w:r>
            <w:r w:rsidRPr="00193AA3">
              <w:rPr>
                <w:rStyle w:val="Corpsdutexte"/>
                <w:rFonts w:cs="Times New Roman"/>
                <w:sz w:val="22"/>
                <w:szCs w:val="20"/>
                <w:shd w:val="clear" w:color="auto" w:fill="auto"/>
              </w:rPr>
              <w:t>de la situation financière de l’École et de l’exécution budgétaire. L’ordonnateur garantit la fiabilité de ces informations.</w:t>
            </w:r>
          </w:p>
          <w:p w14:paraId="19FB433F" w14:textId="317F8325" w:rsidR="0099217C" w:rsidRPr="00834834" w:rsidRDefault="004A2404" w:rsidP="006C259D">
            <w:pPr>
              <w:pStyle w:val="ListParagraph"/>
              <w:numPr>
                <w:ilvl w:val="0"/>
                <w:numId w:val="137"/>
              </w:numPr>
              <w:rPr>
                <w:shd w:val="clear" w:color="auto" w:fill="FFFFFF"/>
              </w:rPr>
            </w:pPr>
            <w:r w:rsidRPr="00834834">
              <w:rPr>
                <w:bCs/>
              </w:rPr>
              <w:t>Avant l</w:t>
            </w:r>
            <w:r w:rsidR="00D0034C" w:rsidRPr="00834834">
              <w:rPr>
                <w:bCs/>
              </w:rPr>
              <w:t>’</w:t>
            </w:r>
            <w:r w:rsidRPr="00834834">
              <w:rPr>
                <w:bCs/>
              </w:rPr>
              <w:t>adoption des comptes,</w:t>
            </w:r>
            <w:r w:rsidR="00844012" w:rsidRPr="00834834">
              <w:rPr>
                <w:bCs/>
              </w:rPr>
              <w:t xml:space="preserve"> comme visé à l’article 73.2,</w:t>
            </w:r>
            <w:r w:rsidRPr="00834834">
              <w:rPr>
                <w:bCs/>
              </w:rPr>
              <w:t xml:space="preserve"> le comptable les signe, certifiant ainsi qu</w:t>
            </w:r>
            <w:r w:rsidR="00D0034C" w:rsidRPr="00834834">
              <w:rPr>
                <w:bCs/>
              </w:rPr>
              <w:t>’</w:t>
            </w:r>
            <w:r w:rsidRPr="00834834">
              <w:rPr>
                <w:bCs/>
              </w:rPr>
              <w:t>il a une assurance raisonn</w:t>
            </w:r>
            <w:r w:rsidR="00844012" w:rsidRPr="00834834">
              <w:rPr>
                <w:bCs/>
              </w:rPr>
              <w:t xml:space="preserve">able que ceux-ci présentent une présentation fidèle et sincère </w:t>
            </w:r>
            <w:r w:rsidRPr="00834834">
              <w:rPr>
                <w:bCs/>
              </w:rPr>
              <w:t>de la situation financière</w:t>
            </w:r>
            <w:r w:rsidR="00844012" w:rsidRPr="00834834">
              <w:rPr>
                <w:bCs/>
              </w:rPr>
              <w:t xml:space="preserve"> des Ecoles européennes</w:t>
            </w:r>
            <w:r w:rsidRPr="00834834">
              <w:rPr>
                <w:bCs/>
              </w:rPr>
              <w:t xml:space="preserve">. </w:t>
            </w:r>
          </w:p>
          <w:p w14:paraId="0083CBDE" w14:textId="3545A223" w:rsidR="004A2404" w:rsidRPr="00193AA3" w:rsidRDefault="004A2404" w:rsidP="00193AA3">
            <w:pPr>
              <w:pStyle w:val="ListParagraph"/>
              <w:ind w:left="1161"/>
              <w:rPr>
                <w:bCs/>
              </w:rPr>
            </w:pPr>
            <w:r w:rsidRPr="00193AA3">
              <w:rPr>
                <w:bCs/>
              </w:rPr>
              <w:t>À cet effet, le comptable vérifie que les comptes ont été préparés conformément aux règles et procédures c</w:t>
            </w:r>
            <w:r w:rsidR="00844012" w:rsidRPr="00193AA3">
              <w:rPr>
                <w:bCs/>
              </w:rPr>
              <w:t>omptables visées au paragraphe 2</w:t>
            </w:r>
            <w:r w:rsidRPr="00193AA3">
              <w:rPr>
                <w:bCs/>
              </w:rPr>
              <w:t xml:space="preserve"> du présent article et que toutes les recettes et les dépenses y sont inscrites.</w:t>
            </w:r>
          </w:p>
          <w:p w14:paraId="7BE4BECC" w14:textId="77777777" w:rsidR="00844012" w:rsidRPr="00193AA3" w:rsidRDefault="004A2404" w:rsidP="00193AA3">
            <w:pPr>
              <w:pStyle w:val="ListParagraph"/>
              <w:ind w:left="1161"/>
              <w:rPr>
                <w:bCs/>
              </w:rPr>
            </w:pPr>
            <w:r w:rsidRPr="00193AA3">
              <w:rPr>
                <w:bCs/>
              </w:rPr>
              <w:t>Les ordonnateurs demeurent pleinement responsables de l</w:t>
            </w:r>
            <w:r w:rsidR="00D0034C" w:rsidRPr="00193AA3">
              <w:rPr>
                <w:bCs/>
              </w:rPr>
              <w:t>’</w:t>
            </w:r>
            <w:r w:rsidRPr="00193AA3">
              <w:rPr>
                <w:bCs/>
              </w:rPr>
              <w:t>utilisation appropriée des fonds qu</w:t>
            </w:r>
            <w:r w:rsidR="00D0034C" w:rsidRPr="00193AA3">
              <w:rPr>
                <w:bCs/>
              </w:rPr>
              <w:t>’</w:t>
            </w:r>
            <w:r w:rsidRPr="00193AA3">
              <w:rPr>
                <w:bCs/>
              </w:rPr>
              <w:t>ils gèrent, de la légalité et de la régularité des dépenses sous leur contrôle et de l</w:t>
            </w:r>
            <w:r w:rsidR="00D0034C" w:rsidRPr="00193AA3">
              <w:rPr>
                <w:bCs/>
              </w:rPr>
              <w:t>’</w:t>
            </w:r>
            <w:r w:rsidRPr="00193AA3">
              <w:rPr>
                <w:bCs/>
              </w:rPr>
              <w:t>exhaustivité et de l</w:t>
            </w:r>
            <w:r w:rsidR="00D0034C" w:rsidRPr="00193AA3">
              <w:rPr>
                <w:bCs/>
              </w:rPr>
              <w:t>’</w:t>
            </w:r>
            <w:r w:rsidRPr="00193AA3">
              <w:rPr>
                <w:bCs/>
              </w:rPr>
              <w:t>exactitude des informations transmises au comptable.</w:t>
            </w:r>
          </w:p>
          <w:p w14:paraId="7804EBC0" w14:textId="108F0FFC" w:rsidR="004A2404" w:rsidRPr="00193AA3" w:rsidRDefault="004A2404" w:rsidP="006C259D">
            <w:pPr>
              <w:pStyle w:val="ListParagraph"/>
              <w:numPr>
                <w:ilvl w:val="0"/>
                <w:numId w:val="137"/>
              </w:numPr>
            </w:pPr>
            <w:r w:rsidRPr="00193AA3">
              <w:t>Le comptable est habilité à vérifier les informations reçues et à effectuer toute autre vérification qu</w:t>
            </w:r>
            <w:r w:rsidR="00D0034C" w:rsidRPr="00193AA3">
              <w:t>’</w:t>
            </w:r>
            <w:r w:rsidRPr="00193AA3">
              <w:t xml:space="preserve">il juge nécessaire pour signer les comptes. </w:t>
            </w:r>
          </w:p>
          <w:p w14:paraId="6FD51FDB" w14:textId="77777777" w:rsidR="004A2404" w:rsidRPr="00193AA3" w:rsidRDefault="004A2404" w:rsidP="00193AA3">
            <w:pPr>
              <w:pStyle w:val="ListParagraph"/>
              <w:ind w:left="1117"/>
            </w:pPr>
            <w:r w:rsidRPr="00193AA3">
              <w:lastRenderedPageBreak/>
              <w:t>Au besoin, le comptable émet des réserves en expliquant exactement la nature et la portée de ces réserves.</w:t>
            </w:r>
          </w:p>
          <w:p w14:paraId="5E33FF2E" w14:textId="03BCE5B2" w:rsidR="004A2404" w:rsidRPr="00193AA3" w:rsidRDefault="004A2404" w:rsidP="006C259D">
            <w:pPr>
              <w:pStyle w:val="ListParagraph"/>
              <w:numPr>
                <w:ilvl w:val="0"/>
                <w:numId w:val="137"/>
              </w:numPr>
            </w:pPr>
            <w:r w:rsidRPr="00193AA3">
              <w:t>Sauf dispositions contraires prévues au présent Règlement, seul le comptable est habilité à gérer la trésorerie et les équivalents de trésorerie. Le comptable est responsable de leur conservation.</w:t>
            </w:r>
          </w:p>
          <w:p w14:paraId="54E1F09A" w14:textId="00C485E8" w:rsidR="002A7942" w:rsidRPr="00193AA3" w:rsidRDefault="004A2404" w:rsidP="006C259D">
            <w:pPr>
              <w:pStyle w:val="ListParagraph"/>
              <w:numPr>
                <w:ilvl w:val="0"/>
                <w:numId w:val="137"/>
              </w:numPr>
            </w:pPr>
            <w:r w:rsidRPr="00193AA3">
              <w:t>Le comptable des Écoles européennes peut, dans l’exercice de ses fonctions, déléguer certaines tâches à ses subordonnés, à l</w:t>
            </w:r>
            <w:r w:rsidR="00D0034C" w:rsidRPr="00193AA3">
              <w:t>’</w:t>
            </w:r>
            <w:r w:rsidRPr="00193AA3">
              <w:t>exception de la signature des comptes consolidés des Écoles européennes.</w:t>
            </w:r>
          </w:p>
          <w:p w14:paraId="7D559056" w14:textId="365F5829" w:rsidR="004A2404" w:rsidRPr="00193AA3" w:rsidRDefault="004A2404" w:rsidP="00193AA3">
            <w:pPr>
              <w:pStyle w:val="ListParagraph"/>
              <w:ind w:left="1117"/>
            </w:pPr>
            <w:r w:rsidRPr="00193AA3">
              <w:t>L’instrument de délégation précise les tâches confiées aux délégataires ainsi que leurs droits et devoirs. Il est communiqué à l</w:t>
            </w:r>
            <w:r w:rsidR="00D0034C" w:rsidRPr="00193AA3">
              <w:t>’</w:t>
            </w:r>
            <w:r w:rsidRPr="00193AA3">
              <w:t xml:space="preserve">ordonnateur des Écoles européennes et aux ordonnateurs responsables concernés. </w:t>
            </w:r>
          </w:p>
          <w:p w14:paraId="1FAB9316" w14:textId="29EF11F2" w:rsidR="002A7942" w:rsidRPr="00193AA3" w:rsidRDefault="00C76298" w:rsidP="006C259D">
            <w:pPr>
              <w:pStyle w:val="ListParagraph"/>
              <w:numPr>
                <w:ilvl w:val="0"/>
                <w:numId w:val="137"/>
              </w:numPr>
            </w:pPr>
            <w:r w:rsidRPr="00193AA3">
              <w:t>Sans préjudice de l</w:t>
            </w:r>
            <w:r w:rsidR="00D0034C" w:rsidRPr="00193AA3">
              <w:t>’</w:t>
            </w:r>
            <w:r w:rsidRPr="00193AA3">
              <w:t>éventuelle délégation de tâches, comme indiqué au paragraphe </w:t>
            </w:r>
            <w:r w:rsidR="003F454C">
              <w:t>7</w:t>
            </w:r>
            <w:r w:rsidRPr="00193AA3">
              <w:t>, le comptable peut en outre être aidé par des correspondants dans chaque École et au Bureau du Secrétaire général. Ceux-ci sont nommés par les Conseils d</w:t>
            </w:r>
            <w:r w:rsidR="00D0034C" w:rsidRPr="00193AA3">
              <w:t>’</w:t>
            </w:r>
            <w:r w:rsidRPr="00193AA3">
              <w:t>administration respectifs et par le Secrétaire général pour le Bureau du Secrétaire général. Les correspondants sont subordonnés sur le plan hiérarchique aux ordonnateurs délégués correspondants, mais d</w:t>
            </w:r>
            <w:r w:rsidR="00D0034C" w:rsidRPr="00193AA3">
              <w:t>’</w:t>
            </w:r>
            <w:r w:rsidRPr="00193AA3">
              <w:t>un point de vue fonctionnel, ils sont assujettis aux normes et procédures comptables établies par le comptable.</w:t>
            </w:r>
            <w:r w:rsidR="00844012" w:rsidRPr="00193AA3">
              <w:t xml:space="preserve"> Ils sont notamment chargés de la préparation des comptes individuels provisoires de l’École correspondante ou du Bureau du Secrétaire général.</w:t>
            </w:r>
          </w:p>
          <w:p w14:paraId="4D6DBCE7" w14:textId="23EE2DF2" w:rsidR="00B80C10" w:rsidRPr="00193AA3" w:rsidRDefault="00B80C10" w:rsidP="006C259D">
            <w:pPr>
              <w:pStyle w:val="ListParagraph"/>
              <w:numPr>
                <w:ilvl w:val="0"/>
                <w:numId w:val="137"/>
              </w:numPr>
            </w:pPr>
            <w:r w:rsidRPr="00193AA3">
              <w:t>Dans le cadre de ce Règlement, les rôles et responsabilités respectifs du comptable des Écoles européennes, de ses délégataires et des correspondants sont définis dans une Charte des missions et responsabilités proposée par le Secrétaire général et approuvée par le Conseil supérieur.</w:t>
            </w:r>
          </w:p>
          <w:p w14:paraId="05F4D3B8" w14:textId="03656D77"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36</w:t>
            </w:r>
          </w:p>
          <w:p w14:paraId="1C6AFF9B" w14:textId="65252BD2" w:rsidR="004A2404" w:rsidRPr="00834834" w:rsidRDefault="004A2404" w:rsidP="007673A5">
            <w:pPr>
              <w:pStyle w:val="Subtitle"/>
              <w:rPr>
                <w:lang w:val="fr-BE"/>
              </w:rPr>
            </w:pPr>
            <w:r w:rsidRPr="00834834">
              <w:rPr>
                <w:lang w:val="fr-BE"/>
              </w:rPr>
              <w:t>Régisseurs d</w:t>
            </w:r>
            <w:r w:rsidR="00D0034C" w:rsidRPr="00834834">
              <w:rPr>
                <w:lang w:val="fr-BE"/>
              </w:rPr>
              <w:t>’</w:t>
            </w:r>
            <w:r w:rsidRPr="00834834">
              <w:rPr>
                <w:lang w:val="fr-BE"/>
              </w:rPr>
              <w:t>avances</w:t>
            </w:r>
          </w:p>
          <w:p w14:paraId="4FDC94E8" w14:textId="610A5DB9" w:rsidR="00D32C39" w:rsidRPr="00834834" w:rsidRDefault="004A2404" w:rsidP="00193AA3">
            <w:pPr>
              <w:rPr>
                <w:lang w:val="fr-BE"/>
              </w:rPr>
            </w:pPr>
            <w:r w:rsidRPr="00834834">
              <w:rPr>
                <w:lang w:val="fr-BE"/>
              </w:rPr>
              <w:t>En vue du paiement de certaines catégories de dépenses, le comptable peut créer des régies d</w:t>
            </w:r>
            <w:r w:rsidR="00D0034C" w:rsidRPr="00834834">
              <w:rPr>
                <w:lang w:val="fr-BE"/>
              </w:rPr>
              <w:t>’</w:t>
            </w:r>
            <w:r w:rsidRPr="00834834">
              <w:rPr>
                <w:lang w:val="fr-BE"/>
              </w:rPr>
              <w:t>avances à la suite d</w:t>
            </w:r>
            <w:r w:rsidR="00D0034C" w:rsidRPr="00834834">
              <w:rPr>
                <w:lang w:val="fr-BE"/>
              </w:rPr>
              <w:t>’</w:t>
            </w:r>
            <w:r w:rsidRPr="00834834">
              <w:rPr>
                <w:lang w:val="fr-BE"/>
              </w:rPr>
              <w:t>une proposition favorable en ce sens de l</w:t>
            </w:r>
            <w:r w:rsidR="00D0034C" w:rsidRPr="00834834">
              <w:rPr>
                <w:lang w:val="fr-BE"/>
              </w:rPr>
              <w:t>’</w:t>
            </w:r>
            <w:r w:rsidRPr="00834834">
              <w:rPr>
                <w:lang w:val="fr-BE"/>
              </w:rPr>
              <w:t>ordonnateur. La décision énonce les responsabilités des régisseurs d</w:t>
            </w:r>
            <w:r w:rsidR="00D0034C" w:rsidRPr="00834834">
              <w:rPr>
                <w:lang w:val="fr-BE"/>
              </w:rPr>
              <w:t>’</w:t>
            </w:r>
            <w:r w:rsidRPr="00834834">
              <w:rPr>
                <w:lang w:val="fr-BE"/>
              </w:rPr>
              <w:t>avances, dans le cadre général instauré par le présent Règlement.</w:t>
            </w:r>
          </w:p>
          <w:p w14:paraId="5C495994" w14:textId="000B7C3B" w:rsidR="005517CB" w:rsidRPr="00834834" w:rsidRDefault="005517CB" w:rsidP="007673A5">
            <w:pPr>
              <w:pStyle w:val="Subtitle"/>
              <w:rPr>
                <w:lang w:val="fr-BE"/>
              </w:rPr>
            </w:pPr>
            <w:r w:rsidRPr="00834834">
              <w:rPr>
                <w:lang w:val="fr-BE"/>
              </w:rPr>
              <w:t>Article</w:t>
            </w:r>
            <w:r w:rsidR="00D0034C" w:rsidRPr="00834834">
              <w:rPr>
                <w:lang w:val="fr-BE"/>
              </w:rPr>
              <w:t> </w:t>
            </w:r>
            <w:r w:rsidRPr="00834834">
              <w:rPr>
                <w:lang w:val="fr-BE"/>
              </w:rPr>
              <w:t>37</w:t>
            </w:r>
          </w:p>
          <w:p w14:paraId="04FE5FAE" w14:textId="53A99782" w:rsidR="005517CB" w:rsidRPr="00834834" w:rsidRDefault="005517CB" w:rsidP="007673A5">
            <w:pPr>
              <w:pStyle w:val="Subtitle"/>
              <w:rPr>
                <w:lang w:val="fr-BE"/>
              </w:rPr>
            </w:pPr>
            <w:r w:rsidRPr="00834834">
              <w:rPr>
                <w:lang w:val="fr-BE"/>
              </w:rPr>
              <w:t>Conflits d</w:t>
            </w:r>
            <w:r w:rsidR="00D0034C" w:rsidRPr="00834834">
              <w:rPr>
                <w:lang w:val="fr-BE"/>
              </w:rPr>
              <w:t>’</w:t>
            </w:r>
            <w:r w:rsidRPr="00834834">
              <w:rPr>
                <w:lang w:val="fr-BE"/>
              </w:rPr>
              <w:t>intérêts</w:t>
            </w:r>
          </w:p>
          <w:p w14:paraId="24E64F67" w14:textId="77777777" w:rsidR="00844012" w:rsidRPr="003F454C" w:rsidRDefault="00844012" w:rsidP="00193AA3">
            <w:pPr>
              <w:rPr>
                <w:lang w:val="fr-BE"/>
              </w:rPr>
            </w:pPr>
            <w:r w:rsidRPr="003F454C">
              <w:rPr>
                <w:lang w:val="fr-BE"/>
              </w:rPr>
              <w:t>Les acteurs financiers et les autres personnes, y compris les autorités nationales à tout niveau, participant à l’exécution et à la gestion du budget, y compris aux actes préparatoires à celui-ci, ainsi qu’à l’audit ou au contrôle, ne prennent aucune mesure à l’occasion de laquelle leurs propres intérêts pourraient être en conflit avec ceux des Écoles ou des parties contractantes visées à l’article 25 de la Convention portant Statut des Écoles européennes. Ils prennent en outre les mesures appropriées pour éviter un conflit d’intérêts dans les fonctions relevant de leur responsabilité et pour remédier aux situations qui peuvent, objectivement, être perçues comme un conflit d’intérêts.</w:t>
            </w:r>
          </w:p>
          <w:p w14:paraId="6513EA94" w14:textId="045E77DA" w:rsidR="00D70FA8" w:rsidRPr="003F454C" w:rsidRDefault="00D70FA8" w:rsidP="00193AA3">
            <w:pPr>
              <w:rPr>
                <w:lang w:val="fr-BE"/>
              </w:rPr>
            </w:pPr>
            <w:r w:rsidRPr="003F454C">
              <w:rPr>
                <w:lang w:val="fr-BE"/>
              </w:rPr>
              <w:t>Si un tel risque existe, la personne en question a l’obligation de s’abstenir et d’en référer à l’ordonnateur délégué responsable, qui confirme par écrit si l’existence d’un conflit d’intérêts a été établie. Si l’existence d’un conflit d’intérêts a été établie, l’ordonnateur responsable veille à ce que la personne en question cesse toute activité en l’affaire. Si la personne en question est un ordonnateur délégué, celui-ci en réfère au Secrétaire général des Écoles européennes, qui agit en conséquence. Dans l’éventualité où la personne en question est le Secrétaire général, celui-ci en réfère au Conseil supérieur, qui statue.</w:t>
            </w:r>
          </w:p>
          <w:p w14:paraId="53D5A717" w14:textId="799D51B1" w:rsidR="005517CB" w:rsidRPr="003F454C" w:rsidRDefault="00176185" w:rsidP="00193AA3">
            <w:pPr>
              <w:rPr>
                <w:lang w:val="fr-BE"/>
              </w:rPr>
            </w:pPr>
            <w:r w:rsidRPr="003F454C">
              <w:rPr>
                <w:lang w:val="fr-BE"/>
              </w:rPr>
              <w:t>Un conflit d</w:t>
            </w:r>
            <w:r w:rsidR="00D0034C" w:rsidRPr="003F454C">
              <w:rPr>
                <w:lang w:val="fr-BE"/>
              </w:rPr>
              <w:t>’</w:t>
            </w:r>
            <w:r w:rsidRPr="003F454C">
              <w:rPr>
                <w:lang w:val="fr-BE"/>
              </w:rPr>
              <w:t>intérêts se présente lorsque l</w:t>
            </w:r>
            <w:r w:rsidR="00D0034C" w:rsidRPr="003F454C">
              <w:rPr>
                <w:lang w:val="fr-BE"/>
              </w:rPr>
              <w:t>’</w:t>
            </w:r>
            <w:r w:rsidRPr="003F454C">
              <w:rPr>
                <w:lang w:val="fr-BE"/>
              </w:rPr>
              <w:t>exercice impartial et objectif des fonctions d</w:t>
            </w:r>
            <w:r w:rsidR="00D0034C" w:rsidRPr="003F454C">
              <w:rPr>
                <w:lang w:val="fr-BE"/>
              </w:rPr>
              <w:t>’</w:t>
            </w:r>
            <w:r w:rsidRPr="003F454C">
              <w:rPr>
                <w:lang w:val="fr-BE"/>
              </w:rPr>
              <w:t>un acteur financier ou d’une autre personne mentionnée ci-dessus est compromis pour des motifs familiaux, affectifs, d</w:t>
            </w:r>
            <w:r w:rsidR="00D0034C" w:rsidRPr="003F454C">
              <w:rPr>
                <w:lang w:val="fr-BE"/>
              </w:rPr>
              <w:t>’</w:t>
            </w:r>
            <w:r w:rsidRPr="003F454C">
              <w:rPr>
                <w:lang w:val="fr-BE"/>
              </w:rPr>
              <w:t>affinité politique ou nationale, d</w:t>
            </w:r>
            <w:r w:rsidR="00D0034C" w:rsidRPr="003F454C">
              <w:rPr>
                <w:lang w:val="fr-BE"/>
              </w:rPr>
              <w:t>’</w:t>
            </w:r>
            <w:r w:rsidRPr="003F454C">
              <w:rPr>
                <w:lang w:val="fr-BE"/>
              </w:rPr>
              <w:t>intérêt économique ou pour tout autre motif de communauté d</w:t>
            </w:r>
            <w:r w:rsidR="00D0034C" w:rsidRPr="003F454C">
              <w:rPr>
                <w:lang w:val="fr-BE"/>
              </w:rPr>
              <w:t>’</w:t>
            </w:r>
            <w:r w:rsidRPr="003F454C">
              <w:rPr>
                <w:lang w:val="fr-BE"/>
              </w:rPr>
              <w:t>intérêt avec le bénéficiaire.</w:t>
            </w:r>
          </w:p>
          <w:p w14:paraId="4677FAF1" w14:textId="1785B339" w:rsidR="005517CB" w:rsidRPr="00193AA3" w:rsidRDefault="005517CB" w:rsidP="00193AA3">
            <w:pPr>
              <w:rPr>
                <w:lang w:val="fr-BE"/>
              </w:rPr>
            </w:pPr>
            <w:r w:rsidRPr="00193AA3">
              <w:rPr>
                <w:lang w:val="fr-BE"/>
              </w:rPr>
              <w:lastRenderedPageBreak/>
              <w:t xml:space="preserve">Le Secrétaire général adopte des règles relatives à la prévention et à la gestion des </w:t>
            </w:r>
            <w:r w:rsidRPr="00193AA3">
              <w:rPr>
                <w:bCs/>
                <w:lang w:val="fr-BE"/>
              </w:rPr>
              <w:t>conflits d</w:t>
            </w:r>
            <w:r w:rsidR="00D0034C" w:rsidRPr="00193AA3">
              <w:rPr>
                <w:bCs/>
                <w:lang w:val="fr-BE"/>
              </w:rPr>
              <w:t>’</w:t>
            </w:r>
            <w:r w:rsidRPr="00193AA3">
              <w:rPr>
                <w:bCs/>
                <w:lang w:val="fr-BE"/>
              </w:rPr>
              <w:t>intérêts.</w:t>
            </w:r>
          </w:p>
          <w:p w14:paraId="2D943BAB" w14:textId="4B9FC6BA" w:rsidR="006D3B43" w:rsidRPr="00834834" w:rsidRDefault="00496E94" w:rsidP="00193AA3">
            <w:pPr>
              <w:pStyle w:val="Heading2"/>
            </w:pPr>
            <w:r w:rsidRPr="00834834">
              <w:t xml:space="preserve">SECTION II </w:t>
            </w:r>
          </w:p>
          <w:p w14:paraId="2AC1C9B7" w14:textId="77777777" w:rsidR="004A2404" w:rsidRPr="00834834" w:rsidRDefault="004A2404" w:rsidP="00193AA3">
            <w:pPr>
              <w:pStyle w:val="Heading2"/>
            </w:pPr>
            <w:r w:rsidRPr="00834834">
              <w:t>RESPONSABILITÉ DES ACTEURS FINANCIERS</w:t>
            </w:r>
          </w:p>
          <w:p w14:paraId="67644CF7" w14:textId="404B85EF" w:rsidR="004A2404" w:rsidRPr="00834834" w:rsidRDefault="004A2404" w:rsidP="007673A5">
            <w:pPr>
              <w:pStyle w:val="Subtitle"/>
              <w:rPr>
                <w:bCs/>
                <w:lang w:val="fr-BE"/>
              </w:rPr>
            </w:pPr>
            <w:r w:rsidRPr="00834834">
              <w:rPr>
                <w:lang w:val="fr-BE"/>
              </w:rPr>
              <w:t>Article</w:t>
            </w:r>
            <w:r w:rsidR="00D0034C" w:rsidRPr="00834834">
              <w:rPr>
                <w:lang w:val="fr-BE"/>
              </w:rPr>
              <w:t> </w:t>
            </w:r>
            <w:r w:rsidRPr="00834834">
              <w:rPr>
                <w:lang w:val="fr-BE"/>
              </w:rPr>
              <w:t>38</w:t>
            </w:r>
          </w:p>
          <w:p w14:paraId="0DE9979E" w14:textId="77777777" w:rsidR="004A2404" w:rsidRPr="00834834" w:rsidRDefault="004A2404" w:rsidP="007673A5">
            <w:pPr>
              <w:pStyle w:val="Subtitle"/>
              <w:rPr>
                <w:bCs/>
                <w:lang w:val="fr-BE"/>
              </w:rPr>
            </w:pPr>
            <w:r w:rsidRPr="00834834">
              <w:rPr>
                <w:lang w:val="fr-BE"/>
              </w:rPr>
              <w:t>Retrait de la délégation et subdélégation et suspension des missions confiées aux acteurs financiers</w:t>
            </w:r>
          </w:p>
          <w:p w14:paraId="556A53DA" w14:textId="121C9F60" w:rsidR="004A2404" w:rsidRPr="00125AB7" w:rsidRDefault="004A2404" w:rsidP="00ED4F09">
            <w:pPr>
              <w:pStyle w:val="ListParagraph"/>
              <w:numPr>
                <w:ilvl w:val="0"/>
                <w:numId w:val="43"/>
              </w:numPr>
            </w:pPr>
            <w:r w:rsidRPr="00125AB7">
              <w:t>Les ordonnateurs délégués et subdélégués peuvent à tout moment se voir limiter ou retirer, temporairement ou définitivement, leur délégation ou subdélégation par l</w:t>
            </w:r>
            <w:r w:rsidR="00D0034C" w:rsidRPr="00125AB7">
              <w:t>’</w:t>
            </w:r>
            <w:r w:rsidRPr="00125AB7">
              <w:t>autorité qui les a nommés.</w:t>
            </w:r>
          </w:p>
          <w:p w14:paraId="6B1FA8A9" w14:textId="55FB09C2" w:rsidR="004A2404" w:rsidRPr="00125AB7" w:rsidRDefault="004A2404" w:rsidP="00ED4F09">
            <w:pPr>
              <w:pStyle w:val="ListParagraph"/>
              <w:numPr>
                <w:ilvl w:val="0"/>
                <w:numId w:val="43"/>
              </w:numPr>
            </w:pPr>
            <w:r w:rsidRPr="00125AB7">
              <w:t>L</w:t>
            </w:r>
            <w:r w:rsidR="00D0034C" w:rsidRPr="00125AB7">
              <w:t>’</w:t>
            </w:r>
            <w:r w:rsidRPr="00125AB7">
              <w:t>ordonnateur des Écoles européennes peut à tout moment retirer son accord sur une subdélégation spécifique.</w:t>
            </w:r>
          </w:p>
          <w:p w14:paraId="38964CC3" w14:textId="42D228FD" w:rsidR="004A2404" w:rsidRPr="00125AB7" w:rsidRDefault="004A2404" w:rsidP="00125AB7">
            <w:pPr>
              <w:pStyle w:val="ListParagraph"/>
              <w:ind w:left="1117"/>
            </w:pPr>
            <w:r w:rsidRPr="00125AB7">
              <w:t>Le comptable ou le régisseur d</w:t>
            </w:r>
            <w:r w:rsidR="00D0034C" w:rsidRPr="00125AB7">
              <w:t>’</w:t>
            </w:r>
            <w:r w:rsidRPr="00125AB7">
              <w:t>avances, ou les deux, peuvent à tout moment être suspendus temporairement ou définitivement de leurs fonctions par l</w:t>
            </w:r>
            <w:r w:rsidR="00D0034C" w:rsidRPr="00125AB7">
              <w:t>’</w:t>
            </w:r>
            <w:r w:rsidRPr="00125AB7">
              <w:t>autorité qui les a nommés.</w:t>
            </w:r>
          </w:p>
          <w:p w14:paraId="32FA88C8" w14:textId="137B5B90" w:rsidR="00080BD4" w:rsidRPr="00125AB7" w:rsidRDefault="00176185" w:rsidP="00ED4F09">
            <w:pPr>
              <w:pStyle w:val="ListParagraph"/>
              <w:numPr>
                <w:ilvl w:val="0"/>
                <w:numId w:val="43"/>
              </w:numPr>
            </w:pPr>
            <w:r w:rsidRPr="00125AB7">
              <w:t>Cet article s</w:t>
            </w:r>
            <w:r w:rsidR="00D0034C" w:rsidRPr="00125AB7">
              <w:t>’</w:t>
            </w:r>
            <w:r w:rsidRPr="00125AB7">
              <w:t>applique sans préjudice de toute mesure disciplinaire prise à l</w:t>
            </w:r>
            <w:r w:rsidR="00D0034C" w:rsidRPr="00125AB7">
              <w:t>’</w:t>
            </w:r>
            <w:r w:rsidRPr="00125AB7">
              <w:t>égard des acteurs financiers visés aux paragraphes 1 et 2.</w:t>
            </w:r>
          </w:p>
          <w:p w14:paraId="4F366686" w14:textId="2C5DF61F" w:rsidR="00D32C39" w:rsidRPr="00834834" w:rsidRDefault="004A2404" w:rsidP="00125AB7">
            <w:pPr>
              <w:pStyle w:val="Subtitle"/>
              <w:rPr>
                <w:lang w:val="fr-BE"/>
              </w:rPr>
            </w:pPr>
            <w:r w:rsidRPr="00834834">
              <w:rPr>
                <w:lang w:val="fr-BE"/>
              </w:rPr>
              <w:t>Article</w:t>
            </w:r>
            <w:r w:rsidR="00D0034C" w:rsidRPr="00834834">
              <w:rPr>
                <w:lang w:val="fr-BE"/>
              </w:rPr>
              <w:t> </w:t>
            </w:r>
            <w:r w:rsidRPr="00834834">
              <w:rPr>
                <w:lang w:val="fr-BE"/>
              </w:rPr>
              <w:t>39</w:t>
            </w:r>
          </w:p>
          <w:p w14:paraId="7507EF54" w14:textId="32AEDF2B" w:rsidR="004A2404" w:rsidRPr="00834834" w:rsidRDefault="004A2404" w:rsidP="00125AB7">
            <w:pPr>
              <w:pStyle w:val="Subtitle"/>
              <w:rPr>
                <w:strike/>
                <w:lang w:val="fr-BE"/>
              </w:rPr>
            </w:pPr>
            <w:r w:rsidRPr="00834834">
              <w:rPr>
                <w:lang w:val="fr-BE"/>
              </w:rPr>
              <w:t xml:space="preserve">Règles relatives </w:t>
            </w:r>
            <w:r w:rsidR="005E6807" w:rsidRPr="00834834">
              <w:rPr>
                <w:lang w:val="fr-BE"/>
              </w:rPr>
              <w:t>à la responsabilité applicable</w:t>
            </w:r>
            <w:r w:rsidRPr="00834834">
              <w:rPr>
                <w:lang w:val="fr-BE"/>
              </w:rPr>
              <w:t xml:space="preserve"> aux ordonnateurs responsables</w:t>
            </w:r>
          </w:p>
          <w:p w14:paraId="4C7562C0" w14:textId="4AA39BD2" w:rsidR="004A2404" w:rsidRPr="00125AB7" w:rsidRDefault="004A2404" w:rsidP="00ED4F09">
            <w:pPr>
              <w:pStyle w:val="ListParagraph"/>
              <w:numPr>
                <w:ilvl w:val="0"/>
                <w:numId w:val="44"/>
              </w:numPr>
            </w:pPr>
            <w:r w:rsidRPr="00125AB7">
              <w:t>L</w:t>
            </w:r>
            <w:r w:rsidR="00D0034C" w:rsidRPr="00125AB7">
              <w:t>’</w:t>
            </w:r>
            <w:r w:rsidRPr="00125AB7">
              <w:t>ordonnateur des Écoles européennes engage sa responsabilité disciplinaire et pécuniaire lorsque, commettant une faute intentionnelle ou une négligence grave,</w:t>
            </w:r>
          </w:p>
          <w:p w14:paraId="016BDDF6" w14:textId="77777777" w:rsidR="007A22C1" w:rsidRPr="00125AB7" w:rsidRDefault="004A2404" w:rsidP="006C259D">
            <w:pPr>
              <w:pStyle w:val="numbering2"/>
              <w:numPr>
                <w:ilvl w:val="0"/>
                <w:numId w:val="138"/>
              </w:numPr>
              <w:ind w:left="2148"/>
            </w:pPr>
            <w:proofErr w:type="gramStart"/>
            <w:r w:rsidRPr="00125AB7">
              <w:t>il</w:t>
            </w:r>
            <w:proofErr w:type="gramEnd"/>
            <w:r w:rsidRPr="00125AB7">
              <w:t xml:space="preserve"> constate des droits à recouvrer ou émet des ordres de recouvrement, engage des dépenses ou signe un ordre de paiement sans se conformer au présent Règlement ;</w:t>
            </w:r>
          </w:p>
          <w:p w14:paraId="583C53DA" w14:textId="56687C0D" w:rsidR="00D70FA8" w:rsidRPr="00125AB7" w:rsidRDefault="004A2404" w:rsidP="006C259D">
            <w:pPr>
              <w:pStyle w:val="numbering2"/>
              <w:numPr>
                <w:ilvl w:val="0"/>
                <w:numId w:val="138"/>
              </w:numPr>
              <w:ind w:left="2148"/>
            </w:pPr>
            <w:proofErr w:type="gramStart"/>
            <w:r w:rsidRPr="00125AB7">
              <w:t>il</w:t>
            </w:r>
            <w:proofErr w:type="gramEnd"/>
            <w:r w:rsidRPr="00125AB7">
              <w:t xml:space="preserve"> néglige d</w:t>
            </w:r>
            <w:r w:rsidR="00D0034C" w:rsidRPr="00125AB7">
              <w:t>’</w:t>
            </w:r>
            <w:r w:rsidRPr="00125AB7">
              <w:t>établir un acte engendrant une créance, il néglige ou retarde l</w:t>
            </w:r>
            <w:r w:rsidR="00D0034C" w:rsidRPr="00125AB7">
              <w:t>’</w:t>
            </w:r>
            <w:r w:rsidRPr="00125AB7">
              <w:t>émission d</w:t>
            </w:r>
            <w:r w:rsidR="00D0034C" w:rsidRPr="00125AB7">
              <w:t>’</w:t>
            </w:r>
            <w:r w:rsidRPr="00125AB7">
              <w:t>un ordre de recouvrement ou il retarde l</w:t>
            </w:r>
            <w:r w:rsidR="00D0034C" w:rsidRPr="00125AB7">
              <w:t>’</w:t>
            </w:r>
            <w:r w:rsidRPr="00125AB7">
              <w:t>émission d</w:t>
            </w:r>
            <w:r w:rsidR="00D0034C" w:rsidRPr="00125AB7">
              <w:t>’</w:t>
            </w:r>
            <w:r w:rsidRPr="00125AB7">
              <w:t>un ordre de paiement, engageant ainsi la responsabilité civile de l</w:t>
            </w:r>
            <w:r w:rsidR="00D0034C" w:rsidRPr="00125AB7">
              <w:t>’</w:t>
            </w:r>
            <w:r w:rsidRPr="00125AB7">
              <w:t>École ou du Bureau du Secrétaire général à l</w:t>
            </w:r>
            <w:r w:rsidR="00D0034C" w:rsidRPr="00125AB7">
              <w:t>’</w:t>
            </w:r>
            <w:r w:rsidRPr="00125AB7">
              <w:t>égard de tiers.</w:t>
            </w:r>
          </w:p>
          <w:p w14:paraId="29EA31FD" w14:textId="77777777" w:rsidR="005E6807" w:rsidRPr="00125AB7" w:rsidRDefault="004A2404" w:rsidP="00ED4F09">
            <w:pPr>
              <w:pStyle w:val="ListParagraph"/>
              <w:numPr>
                <w:ilvl w:val="0"/>
                <w:numId w:val="44"/>
              </w:numPr>
            </w:pPr>
            <w:r w:rsidRPr="00125AB7">
              <w:t>Un ordonnateur délégué ou subdélégué qui considère qu</w:t>
            </w:r>
            <w:r w:rsidR="00D0034C" w:rsidRPr="00125AB7">
              <w:t>’</w:t>
            </w:r>
            <w:r w:rsidRPr="00125AB7">
              <w:t>une décision qui lui incombe est entachée d</w:t>
            </w:r>
            <w:r w:rsidR="00D0034C" w:rsidRPr="00125AB7">
              <w:t>’</w:t>
            </w:r>
            <w:r w:rsidRPr="00125AB7">
              <w:t>irrégularité ou contrevient au principe de bonne gestion financière le signale par écrit à l</w:t>
            </w:r>
            <w:r w:rsidR="00D0034C" w:rsidRPr="00125AB7">
              <w:t>’</w:t>
            </w:r>
            <w:r w:rsidRPr="00125AB7">
              <w:t>autorité délégante. Si l</w:t>
            </w:r>
            <w:r w:rsidR="00D0034C" w:rsidRPr="00125AB7">
              <w:t>’</w:t>
            </w:r>
            <w:r w:rsidRPr="00125AB7">
              <w:t>autorité délégante donne par écrit à l</w:t>
            </w:r>
            <w:r w:rsidR="00D0034C" w:rsidRPr="00125AB7">
              <w:t>’</w:t>
            </w:r>
            <w:r w:rsidRPr="00125AB7">
              <w:t>ordonnateur délégué ou subdélégué l</w:t>
            </w:r>
            <w:r w:rsidR="00D0034C" w:rsidRPr="00125AB7">
              <w:t>’</w:t>
            </w:r>
            <w:r w:rsidRPr="00125AB7">
              <w:t>instruction motivée de prendre cette décision, cet ordonnateur n</w:t>
            </w:r>
            <w:r w:rsidR="00D0034C" w:rsidRPr="00125AB7">
              <w:t>’</w:t>
            </w:r>
            <w:r w:rsidRPr="00125AB7">
              <w:t>en est pas tenu responsable.</w:t>
            </w:r>
          </w:p>
          <w:p w14:paraId="15A200FC" w14:textId="77777777" w:rsidR="005E6807" w:rsidRPr="00125AB7" w:rsidRDefault="004A2404" w:rsidP="00ED4F09">
            <w:pPr>
              <w:pStyle w:val="ListParagraph"/>
              <w:numPr>
                <w:ilvl w:val="0"/>
                <w:numId w:val="44"/>
              </w:numPr>
            </w:pPr>
            <w:r w:rsidRPr="00125AB7">
              <w:t>En cas de délégation, l</w:t>
            </w:r>
            <w:r w:rsidR="00D0034C" w:rsidRPr="00125AB7">
              <w:t>’</w:t>
            </w:r>
            <w:r w:rsidRPr="00125AB7">
              <w:t>ordonnateur des Écoles européennes reste responsable de l</w:t>
            </w:r>
            <w:r w:rsidR="00D0034C" w:rsidRPr="00125AB7">
              <w:t>’</w:t>
            </w:r>
            <w:r w:rsidRPr="00125AB7">
              <w:t>efficacité et de l</w:t>
            </w:r>
            <w:r w:rsidR="00D0034C" w:rsidRPr="00125AB7">
              <w:t>’</w:t>
            </w:r>
            <w:r w:rsidRPr="00125AB7">
              <w:t>efficience du système de gestion interne et de contrôle mis en place ainsi que du choix de l</w:t>
            </w:r>
            <w:r w:rsidR="00D0034C" w:rsidRPr="00125AB7">
              <w:t>’</w:t>
            </w:r>
            <w:r w:rsidRPr="00125AB7">
              <w:t xml:space="preserve">ordonnateur délégué. </w:t>
            </w:r>
          </w:p>
          <w:p w14:paraId="32E034BC" w14:textId="7065255D" w:rsidR="004A2404" w:rsidRDefault="004A2404" w:rsidP="00ED4F09">
            <w:pPr>
              <w:pStyle w:val="ListParagraph"/>
              <w:numPr>
                <w:ilvl w:val="0"/>
                <w:numId w:val="44"/>
              </w:numPr>
            </w:pPr>
            <w:r w:rsidRPr="00125AB7">
              <w:t>Sans préjudice des paragraphes 2 et 3, pour les actes posés dans le cadre des pouvoirs qui leur sont conférés, les ordonnateurs délégués ou subdélégués engagent leur responsabilité disciplinaire et pécuniaire de la même façon que l</w:t>
            </w:r>
            <w:r w:rsidR="00D0034C" w:rsidRPr="00125AB7">
              <w:t>’</w:t>
            </w:r>
            <w:r w:rsidRPr="00125AB7">
              <w:t>ordonnateur des Écoles européennes.</w:t>
            </w:r>
          </w:p>
          <w:p w14:paraId="7357578B" w14:textId="1A0031CF" w:rsidR="0039221D" w:rsidRPr="003F454C" w:rsidRDefault="0039221D" w:rsidP="0039221D">
            <w:pPr>
              <w:rPr>
                <w:lang w:val="fr-BE"/>
              </w:rPr>
            </w:pPr>
          </w:p>
          <w:p w14:paraId="14838D3F" w14:textId="15CE6276" w:rsidR="0039221D" w:rsidRPr="003F454C" w:rsidRDefault="0039221D" w:rsidP="0039221D">
            <w:pPr>
              <w:rPr>
                <w:lang w:val="fr-BE"/>
              </w:rPr>
            </w:pPr>
          </w:p>
          <w:p w14:paraId="29A401AA" w14:textId="77777777" w:rsidR="0039221D" w:rsidRPr="003F454C" w:rsidRDefault="0039221D" w:rsidP="0039221D">
            <w:pPr>
              <w:rPr>
                <w:lang w:val="fr-BE"/>
              </w:rPr>
            </w:pPr>
          </w:p>
          <w:p w14:paraId="5E53DC6C" w14:textId="7BB08463" w:rsidR="004A2404" w:rsidRPr="00834834" w:rsidRDefault="004A2404" w:rsidP="007673A5">
            <w:pPr>
              <w:pStyle w:val="Subtitle"/>
              <w:rPr>
                <w:strike/>
                <w:lang w:val="fr-BE"/>
              </w:rPr>
            </w:pPr>
            <w:r w:rsidRPr="00834834">
              <w:rPr>
                <w:lang w:val="fr-BE"/>
              </w:rPr>
              <w:lastRenderedPageBreak/>
              <w:t>Article</w:t>
            </w:r>
            <w:r w:rsidR="00D0034C" w:rsidRPr="00834834">
              <w:rPr>
                <w:lang w:val="fr-BE"/>
              </w:rPr>
              <w:t> </w:t>
            </w:r>
            <w:r w:rsidRPr="00834834">
              <w:rPr>
                <w:lang w:val="fr-BE"/>
              </w:rPr>
              <w:t>40</w:t>
            </w:r>
          </w:p>
          <w:p w14:paraId="523C0A0D" w14:textId="3323346F" w:rsidR="004A2404" w:rsidRPr="00834834" w:rsidRDefault="004A2404" w:rsidP="007673A5">
            <w:pPr>
              <w:pStyle w:val="Subtitle"/>
              <w:rPr>
                <w:bCs/>
                <w:lang w:val="fr-BE"/>
              </w:rPr>
            </w:pPr>
            <w:r w:rsidRPr="00834834">
              <w:rPr>
                <w:lang w:val="fr-BE"/>
              </w:rPr>
              <w:t xml:space="preserve">Règles relatives </w:t>
            </w:r>
            <w:r w:rsidR="005E6807" w:rsidRPr="00834834">
              <w:rPr>
                <w:lang w:val="fr-BE"/>
              </w:rPr>
              <w:t>à la responsabilité applicable</w:t>
            </w:r>
            <w:r w:rsidRPr="00834834">
              <w:rPr>
                <w:lang w:val="fr-BE"/>
              </w:rPr>
              <w:t xml:space="preserve"> au comptable</w:t>
            </w:r>
          </w:p>
          <w:p w14:paraId="645A875C" w14:textId="69DDB021" w:rsidR="004A2404" w:rsidRPr="00834834" w:rsidRDefault="004A2404" w:rsidP="00125AB7">
            <w:pPr>
              <w:rPr>
                <w:lang w:val="fr-BE"/>
              </w:rPr>
            </w:pPr>
            <w:r w:rsidRPr="00834834">
              <w:rPr>
                <w:lang w:val="fr-BE"/>
              </w:rPr>
              <w:t>Le comptable est disciplinairement et pécuniairement responsable pour les paiements qu</w:t>
            </w:r>
            <w:r w:rsidR="00D0034C" w:rsidRPr="00834834">
              <w:rPr>
                <w:lang w:val="fr-BE"/>
              </w:rPr>
              <w:t>’</w:t>
            </w:r>
            <w:r w:rsidRPr="00834834">
              <w:rPr>
                <w:lang w:val="fr-BE"/>
              </w:rPr>
              <w:t>il effectue sans respecter l</w:t>
            </w:r>
            <w:r w:rsidR="00D0034C" w:rsidRPr="00834834">
              <w:rPr>
                <w:lang w:val="fr-BE"/>
              </w:rPr>
              <w:t>’</w:t>
            </w:r>
            <w:r w:rsidRPr="00834834">
              <w:rPr>
                <w:lang w:val="fr-BE"/>
              </w:rPr>
              <w:t>article 62.</w:t>
            </w:r>
          </w:p>
          <w:p w14:paraId="0007D12F" w14:textId="78BACEC8" w:rsidR="004A2404" w:rsidRPr="00834834" w:rsidRDefault="004A2404" w:rsidP="00125AB7">
            <w:pPr>
              <w:rPr>
                <w:lang w:val="fr-BE"/>
              </w:rPr>
            </w:pPr>
            <w:r w:rsidRPr="00834834">
              <w:rPr>
                <w:lang w:val="fr-BE"/>
              </w:rPr>
              <w:t>Il est disciplinairement et pécuniairement responsable de toute perte ou détérioration des fonds, valeurs et documents dont il a la garde, si cette perte ou détérioration résulte d</w:t>
            </w:r>
            <w:r w:rsidR="00D0034C" w:rsidRPr="00834834">
              <w:rPr>
                <w:lang w:val="fr-BE"/>
              </w:rPr>
              <w:t>’</w:t>
            </w:r>
            <w:r w:rsidRPr="00834834">
              <w:rPr>
                <w:lang w:val="fr-BE"/>
              </w:rPr>
              <w:t>une faute intentionnelle ou d</w:t>
            </w:r>
            <w:r w:rsidR="00D0034C" w:rsidRPr="00834834">
              <w:rPr>
                <w:lang w:val="fr-BE"/>
              </w:rPr>
              <w:t>’</w:t>
            </w:r>
            <w:r w:rsidRPr="00834834">
              <w:rPr>
                <w:lang w:val="fr-BE"/>
              </w:rPr>
              <w:t>une négligence grave qui lui est imputable.</w:t>
            </w:r>
          </w:p>
          <w:p w14:paraId="16BAA9EA" w14:textId="77777777" w:rsidR="00125AB7" w:rsidRDefault="00DA6C94" w:rsidP="00125AB7">
            <w:pPr>
              <w:rPr>
                <w:lang w:val="fr-BE"/>
              </w:rPr>
            </w:pPr>
            <w:r w:rsidRPr="00834834">
              <w:rPr>
                <w:lang w:val="fr-BE"/>
              </w:rPr>
              <w:t>Dans les mêmes conditions, il est responsable de l</w:t>
            </w:r>
            <w:r w:rsidR="00D0034C" w:rsidRPr="00834834">
              <w:rPr>
                <w:lang w:val="fr-BE"/>
              </w:rPr>
              <w:t>’</w:t>
            </w:r>
            <w:r w:rsidRPr="00834834">
              <w:rPr>
                <w:lang w:val="fr-BE"/>
              </w:rPr>
              <w:t>exécution correcte des ordres qu</w:t>
            </w:r>
            <w:r w:rsidR="00D0034C" w:rsidRPr="00834834">
              <w:rPr>
                <w:lang w:val="fr-BE"/>
              </w:rPr>
              <w:t>’</w:t>
            </w:r>
            <w:r w:rsidRPr="00834834">
              <w:rPr>
                <w:lang w:val="fr-BE"/>
              </w:rPr>
              <w:t>il reçoit pour l</w:t>
            </w:r>
            <w:r w:rsidR="00D0034C" w:rsidRPr="00834834">
              <w:rPr>
                <w:lang w:val="fr-BE"/>
              </w:rPr>
              <w:t>’</w:t>
            </w:r>
            <w:r w:rsidRPr="00834834">
              <w:rPr>
                <w:lang w:val="fr-BE"/>
              </w:rPr>
              <w:t>emploi et la gestion de comptes bancaires et notamment :</w:t>
            </w:r>
          </w:p>
          <w:p w14:paraId="16AD9788" w14:textId="757EA0BB" w:rsidR="004A2404" w:rsidRPr="00125AB7" w:rsidRDefault="004A2404" w:rsidP="00ED4F09">
            <w:pPr>
              <w:pStyle w:val="numbering2"/>
              <w:numPr>
                <w:ilvl w:val="0"/>
                <w:numId w:val="46"/>
              </w:numPr>
              <w:ind w:left="2153"/>
            </w:pPr>
            <w:proofErr w:type="gramStart"/>
            <w:r w:rsidRPr="00125AB7">
              <w:t>lorsque</w:t>
            </w:r>
            <w:proofErr w:type="gramEnd"/>
            <w:r w:rsidRPr="00125AB7">
              <w:t xml:space="preserve"> les recouvrements ou les paiements qu</w:t>
            </w:r>
            <w:r w:rsidR="00D0034C" w:rsidRPr="00125AB7">
              <w:t>’</w:t>
            </w:r>
            <w:r w:rsidRPr="00125AB7">
              <w:t>il effectue ne sont pas conformes au montant porté sur les ordres de recouvrement ou de paiement correspondants ;</w:t>
            </w:r>
          </w:p>
          <w:p w14:paraId="1C9B070A" w14:textId="558DAC63" w:rsidR="004A2404" w:rsidRPr="00125AB7" w:rsidRDefault="004A2404" w:rsidP="00ED4F09">
            <w:pPr>
              <w:pStyle w:val="numbering2"/>
              <w:numPr>
                <w:ilvl w:val="0"/>
                <w:numId w:val="46"/>
              </w:numPr>
              <w:ind w:left="2153"/>
            </w:pPr>
            <w:proofErr w:type="gramStart"/>
            <w:r w:rsidRPr="00125AB7">
              <w:t>lorsqu</w:t>
            </w:r>
            <w:r w:rsidR="00D0034C" w:rsidRPr="00125AB7">
              <w:t>’</w:t>
            </w:r>
            <w:r w:rsidRPr="00125AB7">
              <w:t>il</w:t>
            </w:r>
            <w:proofErr w:type="gramEnd"/>
            <w:r w:rsidRPr="00125AB7">
              <w:t xml:space="preserve"> paie à des parties prenantes autres que les ayants droit ;</w:t>
            </w:r>
          </w:p>
          <w:p w14:paraId="0269BAD1" w14:textId="451CACB0" w:rsidR="004A2404" w:rsidRPr="00125AB7" w:rsidRDefault="0025705B" w:rsidP="00ED4F09">
            <w:pPr>
              <w:pStyle w:val="numbering2"/>
              <w:numPr>
                <w:ilvl w:val="0"/>
                <w:numId w:val="46"/>
              </w:numPr>
              <w:ind w:left="2153"/>
            </w:pPr>
            <w:proofErr w:type="gramStart"/>
            <w:r w:rsidRPr="00125AB7">
              <w:t>et</w:t>
            </w:r>
            <w:proofErr w:type="gramEnd"/>
            <w:r w:rsidRPr="00125AB7">
              <w:t xml:space="preserve"> lorsqu</w:t>
            </w:r>
            <w:r w:rsidR="00D0034C" w:rsidRPr="00125AB7">
              <w:t>’</w:t>
            </w:r>
            <w:r w:rsidRPr="00125AB7">
              <w:t>il omet d</w:t>
            </w:r>
            <w:r w:rsidR="00D0034C" w:rsidRPr="00125AB7">
              <w:t>’</w:t>
            </w:r>
            <w:r w:rsidRPr="00125AB7">
              <w:t>encaisser des recettes dues.</w:t>
            </w:r>
          </w:p>
          <w:p w14:paraId="2D308F89" w14:textId="2BB7C400" w:rsidR="004A2404" w:rsidRPr="00834834" w:rsidRDefault="004A2404" w:rsidP="007673A5">
            <w:pPr>
              <w:pStyle w:val="Subtitle"/>
              <w:rPr>
                <w:bCs/>
                <w:lang w:val="fr-BE"/>
              </w:rPr>
            </w:pPr>
            <w:r w:rsidRPr="00834834">
              <w:rPr>
                <w:lang w:val="fr-BE"/>
              </w:rPr>
              <w:t>Article</w:t>
            </w:r>
            <w:r w:rsidR="00D0034C" w:rsidRPr="00834834">
              <w:rPr>
                <w:lang w:val="fr-BE"/>
              </w:rPr>
              <w:t> </w:t>
            </w:r>
            <w:r w:rsidRPr="00834834">
              <w:rPr>
                <w:lang w:val="fr-BE"/>
              </w:rPr>
              <w:t>41</w:t>
            </w:r>
          </w:p>
          <w:p w14:paraId="3AFF49AC" w14:textId="39D6A084" w:rsidR="004A2404" w:rsidRPr="00834834" w:rsidRDefault="004A2404" w:rsidP="007673A5">
            <w:pPr>
              <w:pStyle w:val="Subtitle"/>
              <w:rPr>
                <w:bCs/>
                <w:lang w:val="fr-BE"/>
              </w:rPr>
            </w:pPr>
            <w:r w:rsidRPr="00834834">
              <w:rPr>
                <w:lang w:val="fr-BE"/>
              </w:rPr>
              <w:t>Règles relatives à la responsabilité applicables aux régisseurs d</w:t>
            </w:r>
            <w:r w:rsidR="00D0034C" w:rsidRPr="00834834">
              <w:rPr>
                <w:lang w:val="fr-BE"/>
              </w:rPr>
              <w:t>’</w:t>
            </w:r>
            <w:r w:rsidRPr="00834834">
              <w:rPr>
                <w:lang w:val="fr-BE"/>
              </w:rPr>
              <w:t>avances</w:t>
            </w:r>
          </w:p>
          <w:p w14:paraId="6EBA203A" w14:textId="3D68C948" w:rsidR="004A2404" w:rsidRPr="00834834" w:rsidRDefault="004A2404" w:rsidP="00125AB7">
            <w:pPr>
              <w:rPr>
                <w:lang w:val="fr-BE"/>
              </w:rPr>
            </w:pPr>
            <w:r w:rsidRPr="00834834">
              <w:rPr>
                <w:lang w:val="fr-BE"/>
              </w:rPr>
              <w:t>Tout régisseur d</w:t>
            </w:r>
            <w:r w:rsidR="00D0034C" w:rsidRPr="00834834">
              <w:rPr>
                <w:lang w:val="fr-BE"/>
              </w:rPr>
              <w:t>’</w:t>
            </w:r>
            <w:r w:rsidRPr="00834834">
              <w:rPr>
                <w:lang w:val="fr-BE"/>
              </w:rPr>
              <w:t>avances est disciplinairement et pécuniairement responsable :</w:t>
            </w:r>
          </w:p>
          <w:p w14:paraId="75733B9E" w14:textId="40942B3F" w:rsidR="004A2404" w:rsidRPr="00125AB7" w:rsidRDefault="004A2404" w:rsidP="00ED4F09">
            <w:pPr>
              <w:pStyle w:val="numbering2"/>
              <w:numPr>
                <w:ilvl w:val="0"/>
                <w:numId w:val="47"/>
              </w:numPr>
              <w:ind w:left="2153"/>
            </w:pPr>
            <w:proofErr w:type="gramStart"/>
            <w:r w:rsidRPr="00125AB7">
              <w:t>lorsqu</w:t>
            </w:r>
            <w:r w:rsidR="00D0034C" w:rsidRPr="00125AB7">
              <w:t>’</w:t>
            </w:r>
            <w:r w:rsidRPr="00125AB7">
              <w:t>il</w:t>
            </w:r>
            <w:proofErr w:type="gramEnd"/>
            <w:r w:rsidRPr="00125AB7">
              <w:t xml:space="preserve"> ne peut justifier par des pièces régulières des paiements qu</w:t>
            </w:r>
            <w:r w:rsidR="00D0034C" w:rsidRPr="00125AB7">
              <w:t>’</w:t>
            </w:r>
            <w:r w:rsidRPr="00125AB7">
              <w:t>il effectue ;</w:t>
            </w:r>
          </w:p>
          <w:p w14:paraId="60C301A0" w14:textId="0918F8A0" w:rsidR="004A2404" w:rsidRPr="00125AB7" w:rsidRDefault="004A2404" w:rsidP="00ED4F09">
            <w:pPr>
              <w:pStyle w:val="numbering2"/>
              <w:numPr>
                <w:ilvl w:val="0"/>
                <w:numId w:val="47"/>
              </w:numPr>
              <w:ind w:left="2153"/>
            </w:pPr>
            <w:proofErr w:type="gramStart"/>
            <w:r w:rsidRPr="00125AB7">
              <w:t>lorsqu</w:t>
            </w:r>
            <w:r w:rsidR="00D0034C" w:rsidRPr="00125AB7">
              <w:t>’</w:t>
            </w:r>
            <w:r w:rsidRPr="00125AB7">
              <w:t>il</w:t>
            </w:r>
            <w:proofErr w:type="gramEnd"/>
            <w:r w:rsidRPr="00125AB7">
              <w:t xml:space="preserve"> paie à des parties prenantes autres que les ayants droit ;</w:t>
            </w:r>
          </w:p>
          <w:p w14:paraId="34224040" w14:textId="1B24B492" w:rsidR="004A2404" w:rsidRPr="00125AB7" w:rsidRDefault="004A2404" w:rsidP="00ED4F09">
            <w:pPr>
              <w:pStyle w:val="numbering2"/>
              <w:numPr>
                <w:ilvl w:val="0"/>
                <w:numId w:val="47"/>
              </w:numPr>
              <w:ind w:left="2153"/>
            </w:pPr>
            <w:proofErr w:type="gramStart"/>
            <w:r w:rsidRPr="00125AB7">
              <w:t>lorsqu</w:t>
            </w:r>
            <w:r w:rsidR="00D0034C" w:rsidRPr="00125AB7">
              <w:t>’</w:t>
            </w:r>
            <w:r w:rsidRPr="00125AB7">
              <w:t>il</w:t>
            </w:r>
            <w:proofErr w:type="gramEnd"/>
            <w:r w:rsidRPr="00125AB7">
              <w:t xml:space="preserve"> omet d</w:t>
            </w:r>
            <w:r w:rsidR="00D0034C" w:rsidRPr="00125AB7">
              <w:t>’</w:t>
            </w:r>
            <w:r w:rsidRPr="00125AB7">
              <w:t>encaisser des recettes dues.</w:t>
            </w:r>
          </w:p>
          <w:p w14:paraId="2107AB06" w14:textId="6CE02536" w:rsidR="004A2404" w:rsidRPr="00834834" w:rsidRDefault="004A2404" w:rsidP="00125AB7">
            <w:pPr>
              <w:rPr>
                <w:lang w:val="fr-BE"/>
              </w:rPr>
            </w:pPr>
            <w:r w:rsidRPr="00834834">
              <w:rPr>
                <w:lang w:val="fr-BE"/>
              </w:rPr>
              <w:t>Il est disciplinairement et pécuniairement responsable de toute perte ou détérioration des fonds, valeurs et documents dont il a la garde, si cette perte ou détérioration résulte d</w:t>
            </w:r>
            <w:r w:rsidR="00D0034C" w:rsidRPr="00834834">
              <w:rPr>
                <w:lang w:val="fr-BE"/>
              </w:rPr>
              <w:t>’</w:t>
            </w:r>
            <w:r w:rsidRPr="00834834">
              <w:rPr>
                <w:lang w:val="fr-BE"/>
              </w:rPr>
              <w:t>une faute intentionnelle ou d</w:t>
            </w:r>
            <w:r w:rsidR="00D0034C" w:rsidRPr="00834834">
              <w:rPr>
                <w:lang w:val="fr-BE"/>
              </w:rPr>
              <w:t>’</w:t>
            </w:r>
            <w:r w:rsidRPr="00834834">
              <w:rPr>
                <w:lang w:val="fr-BE"/>
              </w:rPr>
              <w:t>une négligence grave qui lui est imputable.</w:t>
            </w:r>
          </w:p>
          <w:p w14:paraId="3E38BB81" w14:textId="00CD306C" w:rsidR="004A2404"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42</w:t>
            </w:r>
          </w:p>
          <w:p w14:paraId="217E11CA" w14:textId="11D4BF4B" w:rsidR="00545E05" w:rsidRPr="00834834" w:rsidRDefault="00545E05" w:rsidP="007673A5">
            <w:pPr>
              <w:pStyle w:val="Subtitle"/>
              <w:rPr>
                <w:szCs w:val="24"/>
                <w:lang w:val="fr-BE"/>
              </w:rPr>
            </w:pPr>
            <w:r w:rsidRPr="00834834">
              <w:rPr>
                <w:szCs w:val="24"/>
                <w:lang w:val="fr-BE"/>
              </w:rPr>
              <w:t>Décisions relatives au versement d</w:t>
            </w:r>
            <w:r w:rsidR="00D0034C" w:rsidRPr="00834834">
              <w:rPr>
                <w:szCs w:val="24"/>
                <w:lang w:val="fr-BE"/>
              </w:rPr>
              <w:t>’</w:t>
            </w:r>
            <w:r w:rsidRPr="00834834">
              <w:rPr>
                <w:szCs w:val="24"/>
                <w:lang w:val="fr-BE"/>
              </w:rPr>
              <w:t>indemnités et aux mesures disciplinaires</w:t>
            </w:r>
          </w:p>
          <w:p w14:paraId="7C7D489F" w14:textId="4B6914C4" w:rsidR="004A2404" w:rsidRPr="00834834" w:rsidRDefault="004A2404" w:rsidP="00125AB7">
            <w:pPr>
              <w:rPr>
                <w:lang w:val="fr-BE"/>
              </w:rPr>
            </w:pPr>
            <w:r w:rsidRPr="00834834">
              <w:rPr>
                <w:lang w:val="fr-BE"/>
              </w:rPr>
              <w:t>En vertu des articles 39, 40 et 41 et en cas de manquements caractérisés :</w:t>
            </w:r>
          </w:p>
          <w:p w14:paraId="6D57FE96" w14:textId="0F9A47E4" w:rsidR="004A2404" w:rsidRPr="00125AB7" w:rsidRDefault="004A2404" w:rsidP="00ED4F09">
            <w:pPr>
              <w:pStyle w:val="ListParagraph"/>
              <w:numPr>
                <w:ilvl w:val="0"/>
                <w:numId w:val="48"/>
              </w:numPr>
            </w:pPr>
            <w:proofErr w:type="gramStart"/>
            <w:r w:rsidRPr="00125AB7">
              <w:t>la</w:t>
            </w:r>
            <w:proofErr w:type="gramEnd"/>
            <w:r w:rsidRPr="00125AB7">
              <w:t xml:space="preserve"> responsabilité pécuniaire et disciplinaire de l</w:t>
            </w:r>
            <w:r w:rsidR="00D0034C" w:rsidRPr="00125AB7">
              <w:t>’</w:t>
            </w:r>
            <w:r w:rsidRPr="00125AB7">
              <w:t xml:space="preserve">ordonnateur des Écoles européennes, des ordonnateurs délégués ou subdélégués et du comptable est portée devant le Conseil supérieur ; </w:t>
            </w:r>
          </w:p>
          <w:p w14:paraId="6154D3F6" w14:textId="77614A71" w:rsidR="00C06F5C" w:rsidRPr="00125AB7" w:rsidRDefault="004A2404" w:rsidP="00ED4F09">
            <w:pPr>
              <w:pStyle w:val="ListParagraph"/>
              <w:numPr>
                <w:ilvl w:val="0"/>
                <w:numId w:val="48"/>
              </w:numPr>
            </w:pPr>
            <w:proofErr w:type="gramStart"/>
            <w:r w:rsidRPr="00125AB7">
              <w:t>la</w:t>
            </w:r>
            <w:proofErr w:type="gramEnd"/>
            <w:r w:rsidRPr="00125AB7">
              <w:t xml:space="preserve"> responsabilité pécuniaire et disciplinaire des régisseurs d</w:t>
            </w:r>
            <w:r w:rsidR="00D0034C" w:rsidRPr="00125AB7">
              <w:t>’</w:t>
            </w:r>
            <w:r w:rsidRPr="00125AB7">
              <w:t>avances est portée devant le Conseil d</w:t>
            </w:r>
            <w:r w:rsidR="00D0034C" w:rsidRPr="00125AB7">
              <w:t>’</w:t>
            </w:r>
            <w:r w:rsidRPr="00125AB7">
              <w:t xml:space="preserve">administration et/ou le Secrétaire général ; </w:t>
            </w:r>
          </w:p>
          <w:p w14:paraId="35A5EBE6" w14:textId="6A71CA48" w:rsidR="00C06F5C" w:rsidRPr="00125AB7" w:rsidRDefault="004A2404" w:rsidP="00ED4F09">
            <w:pPr>
              <w:pStyle w:val="ListParagraph"/>
              <w:numPr>
                <w:ilvl w:val="0"/>
                <w:numId w:val="48"/>
              </w:numPr>
            </w:pPr>
            <w:proofErr w:type="gramStart"/>
            <w:r w:rsidRPr="00125AB7">
              <w:t>la</w:t>
            </w:r>
            <w:proofErr w:type="gramEnd"/>
            <w:r w:rsidRPr="00125AB7">
              <w:t xml:space="preserve"> responsabilité civile et pénale des personnes visées aux points 1 et 2 pourra être portée devant les juridictions compétentes à la requête du Conseil supérieur, du Conseil d</w:t>
            </w:r>
            <w:r w:rsidR="00D0034C" w:rsidRPr="00125AB7">
              <w:t>’</w:t>
            </w:r>
            <w:r w:rsidRPr="00125AB7">
              <w:t>administration ou du Secrétaire général.</w:t>
            </w:r>
          </w:p>
          <w:p w14:paraId="4651CA2C" w14:textId="4B4078B7" w:rsidR="004A2404"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43</w:t>
            </w:r>
          </w:p>
          <w:p w14:paraId="2444C157" w14:textId="67353A97" w:rsidR="004A2404" w:rsidRDefault="00545E05" w:rsidP="00F66D25">
            <w:pPr>
              <w:rPr>
                <w:lang w:val="fr-BE"/>
              </w:rPr>
            </w:pPr>
            <w:r w:rsidRPr="00834834">
              <w:rPr>
                <w:lang w:val="fr-BE"/>
              </w:rPr>
              <w:t>Les Écoles et le Bureau du Secrétaire général disposent d</w:t>
            </w:r>
            <w:r w:rsidR="00D0034C" w:rsidRPr="00834834">
              <w:rPr>
                <w:lang w:val="fr-BE"/>
              </w:rPr>
              <w:t>’</w:t>
            </w:r>
            <w:r w:rsidRPr="00834834">
              <w:rPr>
                <w:lang w:val="fr-BE"/>
              </w:rPr>
              <w:t xml:space="preserve">un délai de deux ans à compter de la date de la remise du compte de gestion pour statuer sur le quitus à donner </w:t>
            </w:r>
            <w:r w:rsidRPr="00834834">
              <w:rPr>
                <w:bCs/>
                <w:lang w:val="fr-BE"/>
              </w:rPr>
              <w:t>au comptable</w:t>
            </w:r>
            <w:r w:rsidRPr="00834834">
              <w:rPr>
                <w:lang w:val="fr-BE"/>
              </w:rPr>
              <w:t xml:space="preserve"> pour les opérations y afférentes.</w:t>
            </w:r>
          </w:p>
          <w:p w14:paraId="7CB9F5F3" w14:textId="28F08612" w:rsidR="006D3B43" w:rsidRPr="006C259D" w:rsidRDefault="004A2404" w:rsidP="006C259D">
            <w:pPr>
              <w:pStyle w:val="Heading2"/>
            </w:pPr>
            <w:r w:rsidRPr="006C259D">
              <w:lastRenderedPageBreak/>
              <w:t>SECTION</w:t>
            </w:r>
            <w:r w:rsidR="00D0034C" w:rsidRPr="006C259D">
              <w:t> </w:t>
            </w:r>
            <w:r w:rsidRPr="006C259D">
              <w:t>III</w:t>
            </w:r>
          </w:p>
          <w:p w14:paraId="051D7932" w14:textId="4851255E" w:rsidR="004A2404" w:rsidRPr="006C259D" w:rsidRDefault="00A408BB" w:rsidP="006C259D">
            <w:pPr>
              <w:pStyle w:val="Heading2"/>
            </w:pPr>
            <w:r w:rsidRPr="006C259D">
              <w:t>FONCTION D</w:t>
            </w:r>
            <w:r w:rsidR="00D0034C" w:rsidRPr="006C259D">
              <w:t>’</w:t>
            </w:r>
            <w:r w:rsidRPr="006C259D">
              <w:t>AUDIT INTERNE</w:t>
            </w:r>
          </w:p>
          <w:p w14:paraId="56BF27D6" w14:textId="70A53EE0" w:rsidR="004A2404"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44</w:t>
            </w:r>
          </w:p>
          <w:p w14:paraId="7E68312D" w14:textId="339595A2" w:rsidR="00DB7BF7" w:rsidRPr="00834834" w:rsidRDefault="00DB7BF7" w:rsidP="007673A5">
            <w:pPr>
              <w:pStyle w:val="Subtitle"/>
              <w:rPr>
                <w:lang w:val="fr-BE"/>
              </w:rPr>
            </w:pPr>
            <w:r w:rsidRPr="00834834">
              <w:rPr>
                <w:lang w:val="fr-BE"/>
              </w:rPr>
              <w:t>Établissement d</w:t>
            </w:r>
            <w:r w:rsidR="00D0034C" w:rsidRPr="00834834">
              <w:rPr>
                <w:lang w:val="fr-BE"/>
              </w:rPr>
              <w:t>’</w:t>
            </w:r>
            <w:r w:rsidRPr="00834834">
              <w:rPr>
                <w:lang w:val="fr-BE"/>
              </w:rPr>
              <w:t>une fonction d</w:t>
            </w:r>
            <w:r w:rsidR="00D0034C" w:rsidRPr="00834834">
              <w:rPr>
                <w:lang w:val="fr-BE"/>
              </w:rPr>
              <w:t>’</w:t>
            </w:r>
            <w:r w:rsidRPr="00834834">
              <w:rPr>
                <w:lang w:val="fr-BE"/>
              </w:rPr>
              <w:t>audit interne</w:t>
            </w:r>
          </w:p>
          <w:p w14:paraId="7E3395E3" w14:textId="5901C02D" w:rsidR="004A2404" w:rsidRPr="00834834" w:rsidRDefault="004A2404" w:rsidP="00125AB7">
            <w:pPr>
              <w:rPr>
                <w:lang w:val="fr-BE"/>
              </w:rPr>
            </w:pPr>
            <w:r w:rsidRPr="00834834">
              <w:rPr>
                <w:lang w:val="fr-BE"/>
              </w:rPr>
              <w:t>Le Conseil supérieur crée une fonction d</w:t>
            </w:r>
            <w:r w:rsidR="00D0034C" w:rsidRPr="00834834">
              <w:rPr>
                <w:lang w:val="fr-BE"/>
              </w:rPr>
              <w:t>’</w:t>
            </w:r>
            <w:r w:rsidRPr="00834834">
              <w:rPr>
                <w:lang w:val="fr-BE"/>
              </w:rPr>
              <w:t>audit interne, qui est exercée dans le respect des normes internationales pertinentes avec l</w:t>
            </w:r>
            <w:r w:rsidR="00D0034C" w:rsidRPr="00834834">
              <w:rPr>
                <w:lang w:val="fr-BE"/>
              </w:rPr>
              <w:t>’</w:t>
            </w:r>
            <w:r w:rsidRPr="00834834">
              <w:rPr>
                <w:lang w:val="fr-BE"/>
              </w:rPr>
              <w:t>objectif de vérifier le bon fonctionnement des systèmes et des procédures d</w:t>
            </w:r>
            <w:r w:rsidR="00D0034C" w:rsidRPr="00834834">
              <w:rPr>
                <w:lang w:val="fr-BE"/>
              </w:rPr>
              <w:t>’</w:t>
            </w:r>
            <w:r w:rsidRPr="00834834">
              <w:rPr>
                <w:lang w:val="fr-BE"/>
              </w:rPr>
              <w:t>exécution du budget.</w:t>
            </w:r>
          </w:p>
          <w:p w14:paraId="1C0A2020" w14:textId="31C25A32" w:rsidR="00E71C94" w:rsidRPr="00834834" w:rsidRDefault="00E71C94" w:rsidP="007673A5">
            <w:pPr>
              <w:pStyle w:val="Subtitle"/>
              <w:rPr>
                <w:lang w:val="fr-BE"/>
              </w:rPr>
            </w:pPr>
            <w:r w:rsidRPr="00834834">
              <w:rPr>
                <w:lang w:val="fr-BE"/>
              </w:rPr>
              <w:t>Article</w:t>
            </w:r>
            <w:r w:rsidR="00D0034C" w:rsidRPr="00834834">
              <w:rPr>
                <w:lang w:val="fr-BE"/>
              </w:rPr>
              <w:t> </w:t>
            </w:r>
            <w:r w:rsidRPr="00834834">
              <w:rPr>
                <w:lang w:val="fr-BE"/>
              </w:rPr>
              <w:t>45</w:t>
            </w:r>
          </w:p>
          <w:p w14:paraId="4B7F2C70" w14:textId="64EB56BE" w:rsidR="00E71C94" w:rsidRPr="00834834" w:rsidRDefault="00E71C94" w:rsidP="007673A5">
            <w:pPr>
              <w:pStyle w:val="Subtitle"/>
              <w:rPr>
                <w:lang w:val="fr-BE"/>
              </w:rPr>
            </w:pPr>
            <w:r w:rsidRPr="00834834">
              <w:rPr>
                <w:lang w:val="fr-BE"/>
              </w:rPr>
              <w:t>Nomination d</w:t>
            </w:r>
            <w:r w:rsidR="00D0034C" w:rsidRPr="00834834">
              <w:rPr>
                <w:lang w:val="fr-BE"/>
              </w:rPr>
              <w:t>’</w:t>
            </w:r>
            <w:r w:rsidRPr="00834834">
              <w:rPr>
                <w:lang w:val="fr-BE"/>
              </w:rPr>
              <w:t xml:space="preserve">un auditeur interne et champ de sa mission </w:t>
            </w:r>
          </w:p>
          <w:p w14:paraId="6FA02FCD" w14:textId="1B766BAC" w:rsidR="005E6807" w:rsidRPr="00125AB7" w:rsidRDefault="002C0A01" w:rsidP="00ED4F09">
            <w:pPr>
              <w:pStyle w:val="ListParagraph"/>
              <w:numPr>
                <w:ilvl w:val="1"/>
                <w:numId w:val="49"/>
              </w:numPr>
              <w:ind w:left="1019"/>
            </w:pPr>
            <w:r w:rsidRPr="00125AB7">
              <w:t>Le Conseil supérieur peut désigner comme auditeur interne en raison de ses compétences particulières une personne soumise au Statut du Personnel détaché des Écoles européennes choisie parmi les ressortissants des États membres. Si l</w:t>
            </w:r>
            <w:r w:rsidR="00D0034C" w:rsidRPr="00125AB7">
              <w:t>’</w:t>
            </w:r>
            <w:r w:rsidRPr="00125AB7">
              <w:t xml:space="preserve">auditeur/auditrice interne </w:t>
            </w:r>
            <w:proofErr w:type="spellStart"/>
            <w:r w:rsidRPr="00125AB7">
              <w:t>a</w:t>
            </w:r>
            <w:proofErr w:type="spellEnd"/>
            <w:r w:rsidRPr="00125AB7">
              <w:t xml:space="preserve"> la qualité d’agent détaché, il ou elle engage sa responsabilité conformément aux conditions prévues dans ledit statut.</w:t>
            </w:r>
          </w:p>
          <w:p w14:paraId="3B5EACF4" w14:textId="290D5D28" w:rsidR="005E6807" w:rsidRPr="00125AB7" w:rsidRDefault="002C0A01" w:rsidP="00ED4F09">
            <w:pPr>
              <w:pStyle w:val="ListParagraph"/>
              <w:numPr>
                <w:ilvl w:val="1"/>
                <w:numId w:val="49"/>
              </w:numPr>
              <w:ind w:left="1019"/>
            </w:pPr>
            <w:r w:rsidRPr="00125AB7">
              <w:t xml:space="preserve">Le Conseil supérieur met à la disposition de l’auditeur interne les ressources nécessaires au bon accomplissement de sa fonction d’audit ainsi qu’une charte de mission décrivant en détail ses </w:t>
            </w:r>
            <w:r w:rsidR="005E6807" w:rsidRPr="00125AB7">
              <w:t>tâches, missions et obligations.</w:t>
            </w:r>
          </w:p>
          <w:p w14:paraId="7926D527" w14:textId="6BFF127D" w:rsidR="003D6ACC" w:rsidRPr="00125AB7" w:rsidRDefault="002C0A01" w:rsidP="00ED4F09">
            <w:pPr>
              <w:pStyle w:val="ListParagraph"/>
              <w:numPr>
                <w:ilvl w:val="1"/>
                <w:numId w:val="49"/>
              </w:numPr>
              <w:ind w:left="1019"/>
            </w:pPr>
            <w:r w:rsidRPr="00125AB7">
              <w:t xml:space="preserve">L’auditeur interne adopte son programme de travail et le soumet au Conseil supérieur pour approbation. Le Conseil supérieur peut toutefois charger l’auditeur interne d’effectuer des audits ne figurant pas dans le programme de travail </w:t>
            </w:r>
          </w:p>
          <w:p w14:paraId="64B5E89B" w14:textId="0E6A030D" w:rsidR="004A2404" w:rsidRPr="00834834" w:rsidRDefault="004A2404" w:rsidP="00125AB7">
            <w:pPr>
              <w:pStyle w:val="Subtitle"/>
              <w:rPr>
                <w:strike/>
                <w:lang w:val="fr-BE"/>
              </w:rPr>
            </w:pPr>
            <w:r w:rsidRPr="00834834">
              <w:rPr>
                <w:lang w:val="fr-BE"/>
              </w:rPr>
              <w:t>Article</w:t>
            </w:r>
            <w:r w:rsidR="00D0034C" w:rsidRPr="00834834">
              <w:rPr>
                <w:lang w:val="fr-BE"/>
              </w:rPr>
              <w:t> </w:t>
            </w:r>
            <w:r w:rsidRPr="00834834">
              <w:rPr>
                <w:lang w:val="fr-BE"/>
              </w:rPr>
              <w:t>46</w:t>
            </w:r>
          </w:p>
          <w:p w14:paraId="31A95D6C" w14:textId="77777777" w:rsidR="00DB7BF7" w:rsidRPr="00834834" w:rsidRDefault="00DB7BF7" w:rsidP="00125AB7">
            <w:pPr>
              <w:pStyle w:val="Subtitle"/>
              <w:rPr>
                <w:lang w:val="fr-BE"/>
              </w:rPr>
            </w:pPr>
            <w:r w:rsidRPr="00834834">
              <w:rPr>
                <w:lang w:val="fr-BE"/>
              </w:rPr>
              <w:t>Tâches et missions de la fonction d’audit interne. Indépendance et responsabilité</w:t>
            </w:r>
          </w:p>
          <w:p w14:paraId="4971CD47" w14:textId="741BAACB" w:rsidR="004A2404" w:rsidRPr="00125AB7" w:rsidRDefault="004A2404" w:rsidP="00ED4F09">
            <w:pPr>
              <w:pStyle w:val="ListParagraph"/>
              <w:numPr>
                <w:ilvl w:val="0"/>
                <w:numId w:val="50"/>
              </w:numPr>
            </w:pPr>
            <w:r w:rsidRPr="00125AB7">
              <w:t>La fonction d</w:t>
            </w:r>
            <w:r w:rsidR="00D0034C" w:rsidRPr="00125AB7">
              <w:t>’</w:t>
            </w:r>
            <w:r w:rsidRPr="00125AB7">
              <w:t>audit interne consiste à conseiller le Conseil supérieur dans la maîtrise des risques, en formulant des avis indépendants portant sur la qualité des systèmes de gestion et de contrôle et en émettant des recommandations pour améliorer les conditions d</w:t>
            </w:r>
            <w:r w:rsidR="00D0034C" w:rsidRPr="00125AB7">
              <w:t>’</w:t>
            </w:r>
            <w:r w:rsidRPr="00125AB7">
              <w:t>exécution des opérations et promouvoir la bonne gestion financière.</w:t>
            </w:r>
          </w:p>
          <w:p w14:paraId="2DDCFCDA" w14:textId="77777777" w:rsidR="004A2404" w:rsidRPr="00834834" w:rsidRDefault="004A2404" w:rsidP="00125AB7">
            <w:pPr>
              <w:rPr>
                <w:lang w:val="fr-BE"/>
              </w:rPr>
            </w:pPr>
            <w:r w:rsidRPr="00834834">
              <w:rPr>
                <w:lang w:val="fr-BE"/>
              </w:rPr>
              <w:t>Cette fonction comprend notamment :</w:t>
            </w:r>
          </w:p>
          <w:p w14:paraId="11DD0BCB" w14:textId="2A2EAE17" w:rsidR="004A2404" w:rsidRPr="00834834" w:rsidRDefault="008D737B" w:rsidP="006C259D">
            <w:pPr>
              <w:pStyle w:val="numbering2"/>
              <w:numPr>
                <w:ilvl w:val="0"/>
                <w:numId w:val="139"/>
              </w:numPr>
              <w:ind w:left="2148"/>
            </w:pPr>
            <w:proofErr w:type="gramStart"/>
            <w:r w:rsidRPr="00834834">
              <w:t>l</w:t>
            </w:r>
            <w:r w:rsidR="00D0034C" w:rsidRPr="00834834">
              <w:t>’</w:t>
            </w:r>
            <w:r w:rsidRPr="00125AB7">
              <w:rPr>
                <w:bCs/>
              </w:rPr>
              <w:t>appréciation</w:t>
            </w:r>
            <w:proofErr w:type="gramEnd"/>
            <w:r w:rsidRPr="00834834">
              <w:t xml:space="preserve"> de l</w:t>
            </w:r>
            <w:r w:rsidR="00D0034C" w:rsidRPr="00834834">
              <w:t>’</w:t>
            </w:r>
            <w:r w:rsidRPr="00834834">
              <w:t>adéquation et de l</w:t>
            </w:r>
            <w:r w:rsidR="00D0034C" w:rsidRPr="00834834">
              <w:t>’</w:t>
            </w:r>
            <w:r w:rsidRPr="00834834">
              <w:t>efficacité des systèmes de gestion internes ainsi que la performance des Écoles et du Bureau du Secrétaire général dans la réalisation de leurs activités en relation avec les risques qui y sont associés ;</w:t>
            </w:r>
          </w:p>
          <w:p w14:paraId="681A20FE" w14:textId="10D1F489" w:rsidR="004A2404" w:rsidRPr="00834834" w:rsidRDefault="008D737B" w:rsidP="006C259D">
            <w:pPr>
              <w:pStyle w:val="numbering2"/>
              <w:numPr>
                <w:ilvl w:val="0"/>
                <w:numId w:val="139"/>
              </w:numPr>
              <w:ind w:left="2148"/>
            </w:pPr>
            <w:proofErr w:type="gramStart"/>
            <w:r w:rsidRPr="00834834">
              <w:t>l</w:t>
            </w:r>
            <w:r w:rsidR="00D0034C" w:rsidRPr="00834834">
              <w:t>’</w:t>
            </w:r>
            <w:r w:rsidRPr="00834834">
              <w:rPr>
                <w:bCs/>
              </w:rPr>
              <w:t>appréciation</w:t>
            </w:r>
            <w:proofErr w:type="gramEnd"/>
            <w:r w:rsidRPr="00834834">
              <w:t xml:space="preserve"> de l</w:t>
            </w:r>
            <w:r w:rsidR="00D0034C" w:rsidRPr="00834834">
              <w:t>’</w:t>
            </w:r>
            <w:r w:rsidRPr="00834834">
              <w:t>adéquation et de la qualité des systèmes de contrôle et d</w:t>
            </w:r>
            <w:r w:rsidR="00D0034C" w:rsidRPr="00834834">
              <w:t>’</w:t>
            </w:r>
            <w:r w:rsidRPr="00834834">
              <w:t>audit internes applicables à toute opération d</w:t>
            </w:r>
            <w:r w:rsidR="00D0034C" w:rsidRPr="00834834">
              <w:t>’</w:t>
            </w:r>
            <w:r w:rsidRPr="00834834">
              <w:t>exécution du budget.</w:t>
            </w:r>
          </w:p>
          <w:p w14:paraId="4D709D98" w14:textId="634D9556" w:rsidR="004A2404" w:rsidRPr="00834834" w:rsidRDefault="004A2404" w:rsidP="006C259D">
            <w:pPr>
              <w:pStyle w:val="ListParagraph"/>
              <w:numPr>
                <w:ilvl w:val="0"/>
                <w:numId w:val="50"/>
              </w:numPr>
            </w:pPr>
            <w:r w:rsidRPr="00834834">
              <w:t>Cette fonction s</w:t>
            </w:r>
            <w:r w:rsidR="00D0034C" w:rsidRPr="00834834">
              <w:t>’</w:t>
            </w:r>
            <w:r w:rsidRPr="00834834">
              <w:t>exerce par rapport à l</w:t>
            </w:r>
            <w:r w:rsidR="00D0034C" w:rsidRPr="00834834">
              <w:t>’</w:t>
            </w:r>
            <w:r w:rsidRPr="00834834">
              <w:t>ensemble des activités et des services des Écoles et du Bureau du Secrétaire général, avec un accès complet et illimité à toute information requise pour l</w:t>
            </w:r>
            <w:r w:rsidR="00D0034C" w:rsidRPr="00834834">
              <w:t>’</w:t>
            </w:r>
            <w:r w:rsidRPr="00834834">
              <w:t xml:space="preserve">exercice de ces missions, au besoin en y accédant sur place. </w:t>
            </w:r>
          </w:p>
          <w:p w14:paraId="5421E3D1" w14:textId="3266EF51" w:rsidR="00E778B9" w:rsidRPr="00834834" w:rsidRDefault="004A2404" w:rsidP="006C259D">
            <w:pPr>
              <w:pStyle w:val="ListParagraph"/>
              <w:numPr>
                <w:ilvl w:val="0"/>
                <w:numId w:val="50"/>
              </w:numPr>
            </w:pPr>
            <w:r w:rsidRPr="00834834">
              <w:t>À la fin de chaque audit, un rapport est produit à l</w:t>
            </w:r>
            <w:r w:rsidR="00D0034C" w:rsidRPr="00834834">
              <w:t>’</w:t>
            </w:r>
            <w:r w:rsidRPr="00834834">
              <w:t xml:space="preserve">attention du Secrétaire général et du Conseil supérieur, contenant les constatations et recommandations. Le Secrétaire général et le Conseil supérieur assurent le suivi des recommandations issues des audits. </w:t>
            </w:r>
          </w:p>
          <w:p w14:paraId="554EF237" w14:textId="31F7BF8F" w:rsidR="004A2404" w:rsidRPr="00834834" w:rsidRDefault="004A2404" w:rsidP="006C259D">
            <w:pPr>
              <w:pStyle w:val="ListParagraph"/>
              <w:numPr>
                <w:ilvl w:val="0"/>
                <w:numId w:val="50"/>
              </w:numPr>
            </w:pPr>
            <w:r w:rsidRPr="00834834">
              <w:rPr>
                <w:bCs/>
              </w:rPr>
              <w:t>Un rapport annuel d</w:t>
            </w:r>
            <w:r w:rsidR="00D0034C" w:rsidRPr="00834834">
              <w:rPr>
                <w:bCs/>
              </w:rPr>
              <w:t>’</w:t>
            </w:r>
            <w:r w:rsidRPr="00834834">
              <w:rPr>
                <w:bCs/>
              </w:rPr>
              <w:t>audit est produit, au plus tard fin février de l’année suivant l’exercice budgétaire concerné, indiquant le nombre et le type d</w:t>
            </w:r>
            <w:r w:rsidR="00D0034C" w:rsidRPr="00834834">
              <w:rPr>
                <w:bCs/>
              </w:rPr>
              <w:t>’</w:t>
            </w:r>
            <w:r w:rsidRPr="00834834">
              <w:rPr>
                <w:bCs/>
              </w:rPr>
              <w:t xml:space="preserve">audits effectués, les principales recommandations émises et les mesures prises à la suite de ces recommandations. Il est </w:t>
            </w:r>
            <w:r w:rsidRPr="00834834">
              <w:rPr>
                <w:bCs/>
              </w:rPr>
              <w:lastRenderedPageBreak/>
              <w:t>transmis au Secrétaire général et au Conseil supérieur, qui le communique à la Cour des comptes.</w:t>
            </w:r>
          </w:p>
          <w:p w14:paraId="50AF0AF6" w14:textId="087C8F38" w:rsidR="00FD5B14" w:rsidRPr="00834834" w:rsidRDefault="00FD5B14" w:rsidP="006C259D">
            <w:pPr>
              <w:pStyle w:val="ListParagraph"/>
              <w:numPr>
                <w:ilvl w:val="0"/>
                <w:numId w:val="50"/>
              </w:numPr>
            </w:pPr>
            <w:r w:rsidRPr="00834834">
              <w:rPr>
                <w:bCs/>
              </w:rPr>
              <w:t>L’auditeur/auditrice interne jouit d’une complète indépendance dans la conduite de ses audits. Il ou elle ne peut recevoir aucune instruction ni se voir opposer aucune limite en ce qui concerne l’exercice des fonctions qui, par sa désignation, lui sont assignées en vertu des dispositions du présent Règlement.</w:t>
            </w:r>
          </w:p>
          <w:p w14:paraId="29F4477D" w14:textId="2D8F08A6" w:rsidR="00E778B9" w:rsidRPr="00834834" w:rsidRDefault="00AA3A3C" w:rsidP="006C259D">
            <w:pPr>
              <w:pStyle w:val="ListParagraph"/>
              <w:numPr>
                <w:ilvl w:val="0"/>
                <w:numId w:val="50"/>
              </w:numPr>
            </w:pPr>
            <w:r w:rsidRPr="00834834">
              <w:rPr>
                <w:bCs/>
              </w:rPr>
              <w:t>Dans l</w:t>
            </w:r>
            <w:r w:rsidR="00D0034C" w:rsidRPr="00834834">
              <w:rPr>
                <w:bCs/>
              </w:rPr>
              <w:t>’</w:t>
            </w:r>
            <w:r w:rsidRPr="00834834">
              <w:rPr>
                <w:bCs/>
              </w:rPr>
              <w:t>éventualité où le Conseil supérieur a désigné comme auditeur ou auditrice interne une personne soumise au Statut du Personnel détaché des Écoles européennes, la responsabilité de l’auditeur ou auditrice interne ne peut être mise en cause que par le Conseil supérieur lui-même, dans les conditions mentionnées au présent article.</w:t>
            </w:r>
          </w:p>
          <w:p w14:paraId="66D17B6A" w14:textId="77777777" w:rsidR="00426091" w:rsidRPr="00834834" w:rsidRDefault="00426091" w:rsidP="00125AB7">
            <w:pPr>
              <w:pStyle w:val="ListParagraph"/>
              <w:ind w:left="1117"/>
            </w:pPr>
            <w:r w:rsidRPr="00834834">
              <w:t>Le Conseil supérieur prend une décision motivée portant ouverture d’une enquête. Cette décision est signifiée à l’intéressé(e). Le Conseil supérieur désigne la personne chargée de l’enquête. Au cours de cette enquête, l’intéressé(e) est obligatoirement entendu(e).</w:t>
            </w:r>
          </w:p>
          <w:p w14:paraId="0D788D71" w14:textId="5C2B368A" w:rsidR="00426091" w:rsidRPr="00834834" w:rsidRDefault="00426091" w:rsidP="00125AB7">
            <w:pPr>
              <w:pStyle w:val="ListParagraph"/>
              <w:ind w:left="1117"/>
            </w:pPr>
            <w:r w:rsidRPr="00834834">
              <w:t>Le rapport d’enquête est communiqué à l’intéressé(e), qui est ensuite entendu(e) par le Conseil supérieur au sujet de ce rapport.  Sur la base du rapport et de l’audition, le Conseil supérieur adopte soit une décision motivée de clôture de la procédure, soit une décision motivée portant sanction disciplinaire, celle-ci pouvant aller de l</w:t>
            </w:r>
            <w:r w:rsidR="00D0034C" w:rsidRPr="00834834">
              <w:t>’</w:t>
            </w:r>
            <w:r w:rsidRPr="00834834">
              <w:t>avertissement écrit à la révocation.</w:t>
            </w:r>
          </w:p>
          <w:p w14:paraId="242EBF02" w14:textId="634B8FB6" w:rsidR="00A408BB" w:rsidRPr="00125AB7" w:rsidRDefault="00426091" w:rsidP="00125AB7">
            <w:pPr>
              <w:pStyle w:val="ListParagraph"/>
              <w:ind w:left="1117"/>
            </w:pPr>
            <w:r w:rsidRPr="00834834">
              <w:t>Cette décision est notifiée à l</w:t>
            </w:r>
            <w:r w:rsidR="00D0034C" w:rsidRPr="00834834">
              <w:t>’</w:t>
            </w:r>
            <w:r w:rsidRPr="00834834">
              <w:t>intéressé(e) et communiquée, pour information, à la Cour des comptes.</w:t>
            </w:r>
          </w:p>
          <w:p w14:paraId="30626899" w14:textId="6E5414B2" w:rsidR="006D3B43" w:rsidRPr="00834834" w:rsidRDefault="00A408BB" w:rsidP="00125AB7">
            <w:pPr>
              <w:pStyle w:val="Heading2"/>
              <w:rPr>
                <w:szCs w:val="24"/>
              </w:rPr>
            </w:pPr>
            <w:r w:rsidRPr="00834834">
              <w:t>SECTION</w:t>
            </w:r>
            <w:r w:rsidR="00D0034C" w:rsidRPr="00834834">
              <w:t> </w:t>
            </w:r>
            <w:r w:rsidRPr="00834834">
              <w:t>IV</w:t>
            </w:r>
          </w:p>
          <w:p w14:paraId="4A538A40" w14:textId="77777777" w:rsidR="004A2404" w:rsidRPr="00834834" w:rsidRDefault="004A2404" w:rsidP="00125AB7">
            <w:pPr>
              <w:pStyle w:val="Heading2"/>
            </w:pPr>
            <w:r w:rsidRPr="00834834">
              <w:t>OPÉRATIONS DE RECETTES</w:t>
            </w:r>
          </w:p>
          <w:p w14:paraId="01EB9CD5" w14:textId="7BC79095"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 xml:space="preserve">47 </w:t>
            </w:r>
          </w:p>
          <w:p w14:paraId="46EC5A37" w14:textId="77777777" w:rsidR="004A2404" w:rsidRPr="00834834" w:rsidRDefault="004A2404" w:rsidP="007673A5">
            <w:pPr>
              <w:pStyle w:val="Subtitle"/>
              <w:rPr>
                <w:szCs w:val="24"/>
                <w:lang w:val="fr-BE"/>
              </w:rPr>
            </w:pPr>
            <w:r w:rsidRPr="00834834">
              <w:rPr>
                <w:szCs w:val="24"/>
                <w:lang w:val="fr-BE"/>
              </w:rPr>
              <w:t>Estimation, constatation et approbation du recouvrement</w:t>
            </w:r>
          </w:p>
          <w:p w14:paraId="744DCAB8" w14:textId="2B88EDD8" w:rsidR="004A2404" w:rsidRPr="00125AB7" w:rsidRDefault="004A2404" w:rsidP="00ED4F09">
            <w:pPr>
              <w:pStyle w:val="ListParagraph"/>
              <w:numPr>
                <w:ilvl w:val="0"/>
                <w:numId w:val="53"/>
              </w:numPr>
            </w:pPr>
            <w:r w:rsidRPr="00125AB7">
              <w:t>Toute mesure de nature à engendrer ou à modifier une créance</w:t>
            </w:r>
            <w:r w:rsidR="00D70FA8" w:rsidRPr="00125AB7">
              <w:t xml:space="preserve"> des Ecoles européennes</w:t>
            </w:r>
            <w:r w:rsidRPr="00125AB7">
              <w:t xml:space="preserve"> doit être approuvée par l</w:t>
            </w:r>
            <w:r w:rsidR="00D0034C" w:rsidRPr="00125AB7">
              <w:t>’</w:t>
            </w:r>
            <w:r w:rsidRPr="00125AB7">
              <w:t>ordonnateur responsable. Après approbation, ces opérations sont transmises au comptable en vue de l</w:t>
            </w:r>
            <w:r w:rsidR="00D0034C" w:rsidRPr="00125AB7">
              <w:t>’</w:t>
            </w:r>
            <w:r w:rsidRPr="00125AB7">
              <w:t>enregistrement pour mémoire. Elles mentionnent notamment la nature, l</w:t>
            </w:r>
            <w:r w:rsidR="00D0034C" w:rsidRPr="00125AB7">
              <w:t>’</w:t>
            </w:r>
            <w:r w:rsidRPr="00125AB7">
              <w:t>évaluation et l</w:t>
            </w:r>
            <w:r w:rsidR="00D0034C" w:rsidRPr="00125AB7">
              <w:t>’</w:t>
            </w:r>
            <w:r w:rsidRPr="00125AB7">
              <w:t>imputation budgétaire de la recette, ainsi que la désignation du débiteur. L</w:t>
            </w:r>
            <w:r w:rsidR="00D0034C" w:rsidRPr="00125AB7">
              <w:t>’</w:t>
            </w:r>
            <w:r w:rsidRPr="00125AB7">
              <w:t>approbation de l’ordonnateur a pour objet de constater :</w:t>
            </w:r>
          </w:p>
          <w:p w14:paraId="6766E469" w14:textId="07CB1814" w:rsidR="004A2404" w:rsidRPr="00834834" w:rsidRDefault="004A2404" w:rsidP="00ED4F09">
            <w:pPr>
              <w:pStyle w:val="numbering2"/>
              <w:numPr>
                <w:ilvl w:val="0"/>
                <w:numId w:val="54"/>
              </w:numPr>
              <w:ind w:left="2153"/>
            </w:pPr>
            <w:proofErr w:type="gramStart"/>
            <w:r w:rsidRPr="00834834">
              <w:t>l</w:t>
            </w:r>
            <w:r w:rsidR="00D0034C" w:rsidRPr="00834834">
              <w:t>’</w:t>
            </w:r>
            <w:r w:rsidRPr="00834834">
              <w:t>exactitude</w:t>
            </w:r>
            <w:proofErr w:type="gramEnd"/>
            <w:r w:rsidRPr="00834834">
              <w:t xml:space="preserve"> de l</w:t>
            </w:r>
            <w:r w:rsidR="00D0034C" w:rsidRPr="00834834">
              <w:t>’</w:t>
            </w:r>
            <w:r w:rsidRPr="00834834">
              <w:t>imputation budgétaire ;</w:t>
            </w:r>
          </w:p>
          <w:p w14:paraId="71557BD0" w14:textId="3D8CD59B" w:rsidR="004A2404" w:rsidRPr="00834834" w:rsidRDefault="004A2404" w:rsidP="00ED4F09">
            <w:pPr>
              <w:pStyle w:val="numbering2"/>
              <w:numPr>
                <w:ilvl w:val="0"/>
                <w:numId w:val="54"/>
              </w:numPr>
              <w:ind w:left="2153"/>
            </w:pPr>
            <w:proofErr w:type="gramStart"/>
            <w:r w:rsidRPr="00834834">
              <w:t>la</w:t>
            </w:r>
            <w:proofErr w:type="gramEnd"/>
            <w:r w:rsidRPr="00834834">
              <w:t xml:space="preserve"> régularité et la conformité de la proposition au regard des dispositions applicables, notamment du budget et des règlements, ainsi que de tous actes d</w:t>
            </w:r>
            <w:r w:rsidR="00D0034C" w:rsidRPr="00834834">
              <w:t>’</w:t>
            </w:r>
            <w:r w:rsidRPr="00834834">
              <w:t>application des Statuts, des protocoles et des accords passés, et du principe de la bonne gestion financière.</w:t>
            </w:r>
          </w:p>
          <w:p w14:paraId="777BDB70" w14:textId="664C4718" w:rsidR="00E52863" w:rsidRPr="00834834" w:rsidRDefault="004A2404" w:rsidP="007A1590">
            <w:pPr>
              <w:ind w:left="1156"/>
              <w:rPr>
                <w:lang w:val="fr-BE"/>
              </w:rPr>
            </w:pPr>
            <w:r w:rsidRPr="00834834">
              <w:rPr>
                <w:lang w:val="fr-BE"/>
              </w:rPr>
              <w:t>Les propositions prévisionnelles sont limitées strictement aux recettes courantes.</w:t>
            </w:r>
          </w:p>
          <w:p w14:paraId="659E41B6" w14:textId="7EFBA1CA" w:rsidR="00E52863" w:rsidRPr="00834834" w:rsidRDefault="00E52863" w:rsidP="00ED4F09">
            <w:pPr>
              <w:pStyle w:val="ListParagraph"/>
              <w:numPr>
                <w:ilvl w:val="0"/>
                <w:numId w:val="53"/>
              </w:numPr>
            </w:pPr>
            <w:r w:rsidRPr="00834834">
              <w:t>Lorsque l</w:t>
            </w:r>
            <w:r w:rsidR="00D0034C" w:rsidRPr="00834834">
              <w:t>’</w:t>
            </w:r>
            <w:r w:rsidRPr="00834834">
              <w:t>acte ou la décision de l</w:t>
            </w:r>
            <w:r w:rsidR="00D0034C" w:rsidRPr="00834834">
              <w:t>’</w:t>
            </w:r>
            <w:r w:rsidRPr="00834834">
              <w:t>ordonnateur responsable, générateur d</w:t>
            </w:r>
            <w:r w:rsidR="00D0034C" w:rsidRPr="00834834">
              <w:t>’</w:t>
            </w:r>
            <w:r w:rsidRPr="00834834">
              <w:t>une créance future, ne permet pas encore de déterminer le montant ou l</w:t>
            </w:r>
            <w:r w:rsidR="00D0034C" w:rsidRPr="00834834">
              <w:t>’</w:t>
            </w:r>
            <w:r w:rsidRPr="00834834">
              <w:t>échéance de cette créance, la proposition est néanmoins établie : elle indique, dans la mesure du possible, le montant estimé et l</w:t>
            </w:r>
            <w:r w:rsidR="00D0034C" w:rsidRPr="00834834">
              <w:t>’</w:t>
            </w:r>
            <w:r w:rsidRPr="00834834">
              <w:t>échéance prévisible.</w:t>
            </w:r>
          </w:p>
          <w:p w14:paraId="034BBDDC" w14:textId="2339401E" w:rsidR="00910334" w:rsidRPr="00834834" w:rsidRDefault="00E52863" w:rsidP="00125AB7">
            <w:pPr>
              <w:pStyle w:val="ListParagraph"/>
              <w:ind w:left="1117"/>
            </w:pPr>
            <w:r w:rsidRPr="00834834">
              <w:t>La proposition est transmise au comptable pour l</w:t>
            </w:r>
            <w:r w:rsidR="00D0034C" w:rsidRPr="00834834">
              <w:t>’</w:t>
            </w:r>
            <w:r w:rsidRPr="00834834">
              <w:t xml:space="preserve">enregistrement pour mémoire de la créance. </w:t>
            </w:r>
          </w:p>
          <w:p w14:paraId="0BBF5321" w14:textId="167AB15B" w:rsidR="004A2404" w:rsidRPr="00834834" w:rsidRDefault="008445F5" w:rsidP="00ED4F09">
            <w:pPr>
              <w:pStyle w:val="ListParagraph"/>
              <w:numPr>
                <w:ilvl w:val="0"/>
                <w:numId w:val="53"/>
              </w:numPr>
              <w:rPr>
                <w:u w:val="single"/>
              </w:rPr>
            </w:pPr>
            <w:r w:rsidRPr="00834834">
              <w:t>Toute créance constatée doit faire l</w:t>
            </w:r>
            <w:r w:rsidR="00D0034C" w:rsidRPr="00834834">
              <w:t>’</w:t>
            </w:r>
            <w:r w:rsidRPr="00834834">
              <w:t>objet, de la part de l</w:t>
            </w:r>
            <w:r w:rsidR="00D0034C" w:rsidRPr="00834834">
              <w:t>’</w:t>
            </w:r>
            <w:r w:rsidRPr="00834834">
              <w:t>ordonnateur responsable, de l’approbation d</w:t>
            </w:r>
            <w:r w:rsidR="00D0034C" w:rsidRPr="00834834">
              <w:t>’</w:t>
            </w:r>
            <w:r w:rsidRPr="00834834">
              <w:t>un ordre de recouvrement. Cet ordre de recouvrement fait l</w:t>
            </w:r>
            <w:r w:rsidR="00D0034C" w:rsidRPr="00834834">
              <w:t>’</w:t>
            </w:r>
            <w:r w:rsidRPr="00834834">
              <w:t>objet d</w:t>
            </w:r>
            <w:r w:rsidR="00D0034C" w:rsidRPr="00834834">
              <w:t>’</w:t>
            </w:r>
            <w:r w:rsidRPr="00834834">
              <w:t>un enregistrement par le comptable.</w:t>
            </w:r>
          </w:p>
          <w:p w14:paraId="45E4C0ED" w14:textId="0D70F68C" w:rsidR="004A2404" w:rsidRPr="00834834" w:rsidRDefault="00065CBF" w:rsidP="007A1590">
            <w:pPr>
              <w:ind w:left="1156"/>
              <w:rPr>
                <w:lang w:val="fr-BE"/>
              </w:rPr>
            </w:pPr>
            <w:r w:rsidRPr="00834834">
              <w:rPr>
                <w:lang w:val="fr-BE"/>
              </w:rPr>
              <w:t>Le visa a pour objet de constater :</w:t>
            </w:r>
          </w:p>
          <w:p w14:paraId="73CA2DCF" w14:textId="6A2AF818" w:rsidR="004A2404" w:rsidRPr="00834834" w:rsidRDefault="004A2404" w:rsidP="00ED4F09">
            <w:pPr>
              <w:pStyle w:val="numbering2"/>
              <w:numPr>
                <w:ilvl w:val="0"/>
                <w:numId w:val="55"/>
              </w:numPr>
              <w:ind w:left="2153"/>
            </w:pPr>
            <w:proofErr w:type="gramStart"/>
            <w:r w:rsidRPr="00834834">
              <w:t>l</w:t>
            </w:r>
            <w:r w:rsidR="00D0034C" w:rsidRPr="00834834">
              <w:t>’</w:t>
            </w:r>
            <w:r w:rsidRPr="00834834">
              <w:t>exactitude</w:t>
            </w:r>
            <w:proofErr w:type="gramEnd"/>
            <w:r w:rsidRPr="00834834">
              <w:t xml:space="preserve"> de l</w:t>
            </w:r>
            <w:r w:rsidR="00D0034C" w:rsidRPr="00834834">
              <w:t>’</w:t>
            </w:r>
            <w:r w:rsidRPr="00834834">
              <w:t>imputation budgétaire ;</w:t>
            </w:r>
          </w:p>
          <w:p w14:paraId="2E4C5A6F" w14:textId="0D7C9952" w:rsidR="004A2404" w:rsidRPr="00834834" w:rsidRDefault="004A2404" w:rsidP="00ED4F09">
            <w:pPr>
              <w:pStyle w:val="numbering2"/>
              <w:numPr>
                <w:ilvl w:val="0"/>
                <w:numId w:val="55"/>
              </w:numPr>
              <w:ind w:left="2153"/>
            </w:pPr>
            <w:proofErr w:type="gramStart"/>
            <w:r w:rsidRPr="00834834">
              <w:lastRenderedPageBreak/>
              <w:t>la</w:t>
            </w:r>
            <w:proofErr w:type="gramEnd"/>
            <w:r w:rsidRPr="00834834">
              <w:t xml:space="preserve"> régularité et la conformité de l</w:t>
            </w:r>
            <w:r w:rsidR="00D0034C" w:rsidRPr="00834834">
              <w:t>’</w:t>
            </w:r>
            <w:r w:rsidRPr="00834834">
              <w:t>ordre au regard des dispositions applicables ;</w:t>
            </w:r>
          </w:p>
          <w:p w14:paraId="42360E18" w14:textId="0012A826" w:rsidR="004A2404" w:rsidRPr="00834834" w:rsidRDefault="004A2404" w:rsidP="00ED4F09">
            <w:pPr>
              <w:pStyle w:val="numbering2"/>
              <w:numPr>
                <w:ilvl w:val="0"/>
                <w:numId w:val="55"/>
              </w:numPr>
              <w:ind w:left="2153"/>
            </w:pPr>
            <w:proofErr w:type="gramStart"/>
            <w:r w:rsidRPr="00834834">
              <w:t>la</w:t>
            </w:r>
            <w:proofErr w:type="gramEnd"/>
            <w:r w:rsidRPr="00834834">
              <w:t xml:space="preserve"> régularité des pièces justificatives ;</w:t>
            </w:r>
          </w:p>
          <w:p w14:paraId="2EC78A48" w14:textId="66C9669C" w:rsidR="004A2404" w:rsidRPr="00834834" w:rsidRDefault="004A2404" w:rsidP="00ED4F09">
            <w:pPr>
              <w:pStyle w:val="numbering2"/>
              <w:numPr>
                <w:ilvl w:val="0"/>
                <w:numId w:val="55"/>
              </w:numPr>
              <w:ind w:left="2153"/>
            </w:pPr>
            <w:proofErr w:type="gramStart"/>
            <w:r w:rsidRPr="00834834">
              <w:t>l</w:t>
            </w:r>
            <w:r w:rsidR="00D0034C" w:rsidRPr="00834834">
              <w:t>’</w:t>
            </w:r>
            <w:r w:rsidRPr="00834834">
              <w:t>exactitude</w:t>
            </w:r>
            <w:proofErr w:type="gramEnd"/>
            <w:r w:rsidRPr="00834834">
              <w:t xml:space="preserve"> de la désignation du débiteur ;</w:t>
            </w:r>
          </w:p>
          <w:p w14:paraId="3810C4A6" w14:textId="57726057" w:rsidR="004A2404" w:rsidRPr="00834834" w:rsidRDefault="004A2404" w:rsidP="00ED4F09">
            <w:pPr>
              <w:pStyle w:val="numbering2"/>
              <w:numPr>
                <w:ilvl w:val="0"/>
                <w:numId w:val="55"/>
              </w:numPr>
              <w:ind w:left="2153"/>
            </w:pPr>
            <w:proofErr w:type="gramStart"/>
            <w:r w:rsidRPr="00834834">
              <w:t>la</w:t>
            </w:r>
            <w:proofErr w:type="gramEnd"/>
            <w:r w:rsidRPr="00834834">
              <w:t xml:space="preserve"> date d</w:t>
            </w:r>
            <w:r w:rsidR="00D0034C" w:rsidRPr="00834834">
              <w:t>’</w:t>
            </w:r>
            <w:r w:rsidRPr="00834834">
              <w:t>échéance ;</w:t>
            </w:r>
          </w:p>
          <w:p w14:paraId="7654DBA2" w14:textId="59E6BFC6" w:rsidR="004A2404" w:rsidRPr="00834834" w:rsidRDefault="004A2404" w:rsidP="00ED4F09">
            <w:pPr>
              <w:pStyle w:val="numbering2"/>
              <w:numPr>
                <w:ilvl w:val="0"/>
                <w:numId w:val="55"/>
              </w:numPr>
              <w:ind w:left="2153"/>
            </w:pPr>
            <w:proofErr w:type="gramStart"/>
            <w:r w:rsidRPr="00834834">
              <w:t>la</w:t>
            </w:r>
            <w:proofErr w:type="gramEnd"/>
            <w:r w:rsidRPr="00834834">
              <w:t xml:space="preserve"> concordance avec la bonne gestion financière ;</w:t>
            </w:r>
          </w:p>
          <w:p w14:paraId="307AD30F" w14:textId="0457E46D" w:rsidR="004A2404" w:rsidRPr="00834834" w:rsidRDefault="004A2404" w:rsidP="00ED4F09">
            <w:pPr>
              <w:pStyle w:val="numbering2"/>
              <w:numPr>
                <w:ilvl w:val="0"/>
                <w:numId w:val="55"/>
              </w:numPr>
              <w:ind w:left="2153"/>
            </w:pPr>
            <w:proofErr w:type="gramStart"/>
            <w:r w:rsidRPr="00834834">
              <w:t>l</w:t>
            </w:r>
            <w:r w:rsidR="00D0034C" w:rsidRPr="00834834">
              <w:t>’</w:t>
            </w:r>
            <w:r w:rsidRPr="00834834">
              <w:t>exactitude</w:t>
            </w:r>
            <w:proofErr w:type="gramEnd"/>
            <w:r w:rsidRPr="00834834">
              <w:t xml:space="preserve"> du montant et de la devise de recouvrement.</w:t>
            </w:r>
          </w:p>
          <w:p w14:paraId="72FFAE01" w14:textId="66CEE90E" w:rsidR="008445F5" w:rsidRPr="00125AB7" w:rsidRDefault="005E6807" w:rsidP="00ED4F09">
            <w:pPr>
              <w:pStyle w:val="ListParagraph"/>
              <w:numPr>
                <w:ilvl w:val="0"/>
                <w:numId w:val="53"/>
              </w:numPr>
            </w:pPr>
            <w:r w:rsidRPr="00125AB7">
              <w:t xml:space="preserve">1 </w:t>
            </w:r>
            <w:r w:rsidR="008445F5" w:rsidRPr="00125AB7">
              <w:t>Le comptable procède au recouvrement, en invitant le débiteur à payer la somme due à la date fixée. L</w:t>
            </w:r>
            <w:r w:rsidR="00D0034C" w:rsidRPr="00125AB7">
              <w:t>’</w:t>
            </w:r>
            <w:r w:rsidR="008445F5" w:rsidRPr="00125AB7">
              <w:t>encaissement donne lieu à l</w:t>
            </w:r>
            <w:r w:rsidR="00D0034C" w:rsidRPr="00125AB7">
              <w:t>’</w:t>
            </w:r>
            <w:r w:rsidR="008445F5" w:rsidRPr="00125AB7">
              <w:t>établissement par le comptable d</w:t>
            </w:r>
            <w:r w:rsidR="00D0034C" w:rsidRPr="00125AB7">
              <w:t>’</w:t>
            </w:r>
            <w:r w:rsidR="008445F5" w:rsidRPr="00125AB7">
              <w:t>un titre de recette qui fait l</w:t>
            </w:r>
            <w:r w:rsidR="00D0034C" w:rsidRPr="00125AB7">
              <w:t>’</w:t>
            </w:r>
            <w:r w:rsidR="008445F5" w:rsidRPr="00125AB7">
              <w:t>objet d</w:t>
            </w:r>
            <w:r w:rsidR="00D0034C" w:rsidRPr="00125AB7">
              <w:t>’</w:t>
            </w:r>
            <w:r w:rsidR="008445F5" w:rsidRPr="00125AB7">
              <w:t>un enregistrement dans les comptes et éventuellement d</w:t>
            </w:r>
            <w:r w:rsidR="00D0034C" w:rsidRPr="00125AB7">
              <w:t>’</w:t>
            </w:r>
            <w:r w:rsidR="008445F5" w:rsidRPr="00125AB7">
              <w:t>une ouverture de crédits correspondants. L</w:t>
            </w:r>
            <w:r w:rsidR="00D0034C" w:rsidRPr="00125AB7">
              <w:t>’</w:t>
            </w:r>
            <w:r w:rsidR="008445F5" w:rsidRPr="00125AB7">
              <w:t>ordonnateur responsable est informé du recouvrement par les soins du comptable.</w:t>
            </w:r>
          </w:p>
          <w:p w14:paraId="0F82DA7F" w14:textId="77777777" w:rsidR="00D70FA8" w:rsidRPr="00125AB7" w:rsidRDefault="008445F5" w:rsidP="00ED4F09">
            <w:pPr>
              <w:pStyle w:val="ListParagraph"/>
              <w:numPr>
                <w:ilvl w:val="0"/>
                <w:numId w:val="53"/>
              </w:numPr>
            </w:pPr>
            <w:r w:rsidRPr="00125AB7">
              <w:t>Au cas où une créance n</w:t>
            </w:r>
            <w:r w:rsidR="00D0034C" w:rsidRPr="00125AB7">
              <w:t>’</w:t>
            </w:r>
            <w:r w:rsidRPr="00125AB7">
              <w:t>est pas recouvrée à l</w:t>
            </w:r>
            <w:r w:rsidR="00D0034C" w:rsidRPr="00125AB7">
              <w:t>’</w:t>
            </w:r>
            <w:r w:rsidRPr="00125AB7">
              <w:t>échéance du délai fixé pour le paiement, le comptable fait diligence pour entamer la procédure de recouvrement par toute voie de droit.</w:t>
            </w:r>
          </w:p>
          <w:p w14:paraId="3FB23BCE" w14:textId="6A8BC7F4" w:rsidR="002C38CB" w:rsidRPr="00125AB7" w:rsidRDefault="002C38CB" w:rsidP="00ED4F09">
            <w:pPr>
              <w:pStyle w:val="ListParagraph"/>
              <w:numPr>
                <w:ilvl w:val="0"/>
                <w:numId w:val="53"/>
              </w:numPr>
            </w:pPr>
            <w:r w:rsidRPr="00125AB7">
              <w:t>Avant la clôture de l</w:t>
            </w:r>
            <w:r w:rsidR="00D0034C" w:rsidRPr="00125AB7">
              <w:t>’</w:t>
            </w:r>
            <w:r w:rsidRPr="00125AB7">
              <w:t>exercice, l</w:t>
            </w:r>
            <w:r w:rsidR="00D0034C" w:rsidRPr="00125AB7">
              <w:t>’</w:t>
            </w:r>
            <w:r w:rsidRPr="00125AB7">
              <w:t>ordonnateur responsable est tenu de soumettre au comptable les modifications aux propositions prévisionnelles pour que celles-ci correspondent aux créances réellement constatées.</w:t>
            </w:r>
          </w:p>
          <w:p w14:paraId="33AD1B50" w14:textId="754219CC"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 xml:space="preserve">48 </w:t>
            </w:r>
          </w:p>
          <w:p w14:paraId="12FD9EDD" w14:textId="77777777" w:rsidR="004A2404" w:rsidRPr="00834834" w:rsidRDefault="004A2404" w:rsidP="007673A5">
            <w:pPr>
              <w:pStyle w:val="Subtitle"/>
              <w:rPr>
                <w:lang w:val="fr-BE"/>
              </w:rPr>
            </w:pPr>
            <w:r w:rsidRPr="00834834">
              <w:rPr>
                <w:lang w:val="fr-BE"/>
              </w:rPr>
              <w:t xml:space="preserve">Règles relatives au recouvrement </w:t>
            </w:r>
          </w:p>
          <w:p w14:paraId="5F6318FB" w14:textId="31AD8630" w:rsidR="005F3BBF" w:rsidRPr="00125AB7" w:rsidRDefault="004A2404" w:rsidP="00ED4F09">
            <w:pPr>
              <w:pStyle w:val="ListParagraph"/>
              <w:numPr>
                <w:ilvl w:val="0"/>
                <w:numId w:val="56"/>
              </w:numPr>
            </w:pPr>
            <w:r w:rsidRPr="00125AB7">
              <w:t>Le comptable prend en charge le recouvrement des créances dûment établies par l</w:t>
            </w:r>
            <w:r w:rsidR="00D0034C" w:rsidRPr="00125AB7">
              <w:t>’</w:t>
            </w:r>
            <w:r w:rsidRPr="00125AB7">
              <w:t>ordonnateur responsable. Le comptable est tenu de faire diligence en vue d</w:t>
            </w:r>
            <w:r w:rsidR="00D0034C" w:rsidRPr="00125AB7">
              <w:t>’</w:t>
            </w:r>
            <w:r w:rsidRPr="00125AB7">
              <w:t>assurer la rentrée des recettes pour les dates prévues dans les ordres de recouvrement, et doit veiller à la conservation des droits des Écoles.</w:t>
            </w:r>
          </w:p>
          <w:p w14:paraId="666CACB9" w14:textId="77777777" w:rsidR="007D48C5" w:rsidRPr="00125AB7" w:rsidRDefault="004A2404" w:rsidP="00125AB7">
            <w:pPr>
              <w:pStyle w:val="ListParagraph"/>
              <w:ind w:left="1117"/>
            </w:pPr>
            <w:r w:rsidRPr="00125AB7">
              <w:t>Le comptable informe l</w:t>
            </w:r>
            <w:r w:rsidR="00D0034C" w:rsidRPr="00125AB7">
              <w:t>’</w:t>
            </w:r>
            <w:r w:rsidRPr="00125AB7">
              <w:t>ordonnateur responsable de la non-rentrée des recettes dans les délais fixés dans les règles spécifiques applicables à chaque cas particulier. Si nécessaire, il entame la procédure de récupération.</w:t>
            </w:r>
          </w:p>
          <w:p w14:paraId="3A1D7E0D" w14:textId="5DD31EB0" w:rsidR="004A2404" w:rsidRPr="00125AB7" w:rsidRDefault="004A2404" w:rsidP="00ED4F09">
            <w:pPr>
              <w:pStyle w:val="ListParagraph"/>
              <w:numPr>
                <w:ilvl w:val="0"/>
                <w:numId w:val="56"/>
              </w:numPr>
            </w:pPr>
            <w:r w:rsidRPr="00125AB7">
              <w:t>Lorsque l</w:t>
            </w:r>
            <w:r w:rsidR="00D0034C" w:rsidRPr="00125AB7">
              <w:t>’</w:t>
            </w:r>
            <w:r w:rsidRPr="00125AB7">
              <w:t>ordonnateur ou ordonnatrice responsable compte renoncer à recouvrer ou renoncer partiellement à recouvrer une créance constatée, il ou elle transmet le visa correspondant pour approbation de la renonciation au comptable pour information.</w:t>
            </w:r>
          </w:p>
          <w:p w14:paraId="3EFE917C" w14:textId="41695804" w:rsidR="005F3BBF" w:rsidRPr="00125AB7" w:rsidRDefault="00BB5547" w:rsidP="00125AB7">
            <w:pPr>
              <w:pStyle w:val="ListParagraph"/>
              <w:ind w:left="1117"/>
            </w:pPr>
            <w:r w:rsidRPr="00125AB7">
              <w:t>Le visa de l’ordonnateur a pour objet de garantir la régularité de la renonciation et sa concordance avec le principe de bonne gestion financière. La proposition visée fait l</w:t>
            </w:r>
            <w:r w:rsidR="00D0034C" w:rsidRPr="00125AB7">
              <w:t>’</w:t>
            </w:r>
            <w:r w:rsidRPr="00125AB7">
              <w:t>objet d</w:t>
            </w:r>
            <w:r w:rsidR="00D0034C" w:rsidRPr="00125AB7">
              <w:t>’</w:t>
            </w:r>
            <w:r w:rsidRPr="00125AB7">
              <w:t>un enregistrement par le comptable.</w:t>
            </w:r>
          </w:p>
          <w:p w14:paraId="464C3A9E" w14:textId="77777777" w:rsidR="007535DB" w:rsidRPr="00125AB7" w:rsidRDefault="002F4CD6" w:rsidP="00125AB7">
            <w:pPr>
              <w:pStyle w:val="ListParagraph"/>
              <w:ind w:left="1117"/>
            </w:pPr>
            <w:r w:rsidRPr="00125AB7">
              <w:t>Toute proposition de renoncer à recouvrer une créance constatée mentionne notamment la nature, l’évaluation, l’imputation budgétaire de la recette, les motifs de la renonciation proposée ainsi que la désignation du débiteur.</w:t>
            </w:r>
          </w:p>
          <w:p w14:paraId="30C85D49" w14:textId="136A264A" w:rsidR="00ED18B4" w:rsidRPr="00125AB7" w:rsidRDefault="00ED18B4" w:rsidP="00ED4F09">
            <w:pPr>
              <w:pStyle w:val="ListParagraph"/>
              <w:numPr>
                <w:ilvl w:val="0"/>
                <w:numId w:val="56"/>
              </w:numPr>
            </w:pPr>
            <w:r w:rsidRPr="00125AB7">
              <w:t>Conformément à l</w:t>
            </w:r>
            <w:r w:rsidR="00D0034C" w:rsidRPr="00125AB7">
              <w:t>’</w:t>
            </w:r>
            <w:r w:rsidRPr="00125AB7">
              <w:t>article</w:t>
            </w:r>
            <w:r w:rsidR="00D0034C" w:rsidRPr="00125AB7">
              <w:t> </w:t>
            </w:r>
            <w:r w:rsidRPr="00125AB7">
              <w:t>47, paragraphe</w:t>
            </w:r>
            <w:r w:rsidR="00D0034C" w:rsidRPr="00125AB7">
              <w:t> </w:t>
            </w:r>
            <w:r w:rsidRPr="00125AB7">
              <w:t>4, tout encaissement doit faire l</w:t>
            </w:r>
            <w:r w:rsidR="00D0034C" w:rsidRPr="00125AB7">
              <w:t>’</w:t>
            </w:r>
            <w:r w:rsidRPr="00125AB7">
              <w:t>objet d</w:t>
            </w:r>
            <w:r w:rsidR="00D0034C" w:rsidRPr="00125AB7">
              <w:t>’</w:t>
            </w:r>
            <w:r w:rsidRPr="00125AB7">
              <w:t>une notification, dans les délais les meilleurs, à l</w:t>
            </w:r>
            <w:r w:rsidR="00D0034C" w:rsidRPr="00125AB7">
              <w:t>’</w:t>
            </w:r>
            <w:r w:rsidRPr="00125AB7">
              <w:t>ordonnateur responsable. Lorsque cet encaissement ne résulte pas d</w:t>
            </w:r>
            <w:r w:rsidR="00D0034C" w:rsidRPr="00125AB7">
              <w:t>’</w:t>
            </w:r>
            <w:r w:rsidRPr="00125AB7">
              <w:t>un ordre de recouvrement établi conformément à l</w:t>
            </w:r>
            <w:r w:rsidR="00D0034C" w:rsidRPr="00125AB7">
              <w:t>’</w:t>
            </w:r>
            <w:r w:rsidRPr="00125AB7">
              <w:t>article</w:t>
            </w:r>
            <w:r w:rsidR="00D0034C" w:rsidRPr="00125AB7">
              <w:t> </w:t>
            </w:r>
            <w:r w:rsidRPr="00125AB7">
              <w:t>47, le montant correspondant est immédiatement enregistré au crédit d</w:t>
            </w:r>
            <w:r w:rsidR="00D0034C" w:rsidRPr="00125AB7">
              <w:t>’</w:t>
            </w:r>
            <w:r w:rsidRPr="00125AB7">
              <w:t>un compte d</w:t>
            </w:r>
            <w:r w:rsidR="00D0034C" w:rsidRPr="00125AB7">
              <w:t>’</w:t>
            </w:r>
            <w:r w:rsidRPr="00125AB7">
              <w:t>attente et l</w:t>
            </w:r>
            <w:r w:rsidR="00D0034C" w:rsidRPr="00125AB7">
              <w:t>’</w:t>
            </w:r>
            <w:r w:rsidRPr="00125AB7">
              <w:t>ordonnateur responsable est invité à engager la procédure de constatation de créance et à émettre l</w:t>
            </w:r>
            <w:r w:rsidR="00D0034C" w:rsidRPr="00125AB7">
              <w:t>’</w:t>
            </w:r>
            <w:r w:rsidRPr="00125AB7">
              <w:t>ordre de recouvrement manquant, en vue de l</w:t>
            </w:r>
            <w:r w:rsidR="00D0034C" w:rsidRPr="00125AB7">
              <w:t>’</w:t>
            </w:r>
            <w:r w:rsidRPr="00125AB7">
              <w:t>imputation au budget et éventuellement de l</w:t>
            </w:r>
            <w:r w:rsidR="00D0034C" w:rsidRPr="00125AB7">
              <w:t>’</w:t>
            </w:r>
            <w:r w:rsidRPr="00125AB7">
              <w:t>ouverture de crédits correspondants. S</w:t>
            </w:r>
            <w:r w:rsidR="00D0034C" w:rsidRPr="00125AB7">
              <w:t>’</w:t>
            </w:r>
            <w:r w:rsidRPr="00125AB7">
              <w:t>il s</w:t>
            </w:r>
            <w:r w:rsidR="00D0034C" w:rsidRPr="00125AB7">
              <w:t>’</w:t>
            </w:r>
            <w:r w:rsidRPr="00125AB7">
              <w:t>avère qu</w:t>
            </w:r>
            <w:r w:rsidR="00D0034C" w:rsidRPr="00125AB7">
              <w:t>’</w:t>
            </w:r>
            <w:r w:rsidRPr="00125AB7">
              <w:t>un compte visé ci-dessus a été crédité d</w:t>
            </w:r>
            <w:r w:rsidR="00D0034C" w:rsidRPr="00125AB7">
              <w:t>’</w:t>
            </w:r>
            <w:r w:rsidRPr="00125AB7">
              <w:t>une somme indûment perçue, cette somme est remboursée dans les meilleurs délais.</w:t>
            </w:r>
          </w:p>
          <w:p w14:paraId="11AF9396" w14:textId="01520A22" w:rsidR="002F4CD6" w:rsidRPr="00125AB7" w:rsidRDefault="002F4CD6" w:rsidP="00125AB7">
            <w:pPr>
              <w:pStyle w:val="ListParagraph"/>
              <w:ind w:left="1117"/>
            </w:pPr>
            <w:r w:rsidRPr="00125AB7">
              <w:t>Lorsque le ou la comptable constate qu</w:t>
            </w:r>
            <w:r w:rsidR="00D0034C" w:rsidRPr="00125AB7">
              <w:t>’</w:t>
            </w:r>
            <w:r w:rsidRPr="00125AB7">
              <w:t>un acte engendrant une créance n</w:t>
            </w:r>
            <w:r w:rsidR="00D0034C" w:rsidRPr="00125AB7">
              <w:t>’</w:t>
            </w:r>
            <w:r w:rsidRPr="00125AB7">
              <w:t>a pas été établi ou qu</w:t>
            </w:r>
            <w:r w:rsidR="00D0034C" w:rsidRPr="00125AB7">
              <w:t>’</w:t>
            </w:r>
            <w:r w:rsidRPr="00125AB7">
              <w:t>une créance n</w:t>
            </w:r>
            <w:r w:rsidR="00D0034C" w:rsidRPr="00125AB7">
              <w:t>’</w:t>
            </w:r>
            <w:r w:rsidRPr="00125AB7">
              <w:t>a pas été recouvrée, il ou elle en informe le Conseil d</w:t>
            </w:r>
            <w:r w:rsidR="00D0034C" w:rsidRPr="00125AB7">
              <w:t>’</w:t>
            </w:r>
            <w:r w:rsidRPr="00125AB7">
              <w:t>administration et/ou le Secrétaire général.</w:t>
            </w:r>
          </w:p>
          <w:p w14:paraId="17BDA1B5" w14:textId="12CC93FC" w:rsidR="002925AB" w:rsidRPr="00834834" w:rsidRDefault="002925AB" w:rsidP="007673A5">
            <w:pPr>
              <w:pStyle w:val="Subtitle"/>
              <w:rPr>
                <w:lang w:val="fr-BE"/>
              </w:rPr>
            </w:pPr>
            <w:r w:rsidRPr="00834834">
              <w:rPr>
                <w:lang w:val="fr-BE"/>
              </w:rPr>
              <w:lastRenderedPageBreak/>
              <w:t>Article</w:t>
            </w:r>
            <w:r w:rsidR="00D0034C" w:rsidRPr="00834834">
              <w:rPr>
                <w:lang w:val="fr-BE"/>
              </w:rPr>
              <w:t> </w:t>
            </w:r>
            <w:r w:rsidRPr="00834834">
              <w:rPr>
                <w:lang w:val="fr-BE"/>
              </w:rPr>
              <w:t xml:space="preserve">49 </w:t>
            </w:r>
          </w:p>
          <w:p w14:paraId="60F169C7" w14:textId="77777777" w:rsidR="002925AB" w:rsidRPr="00834834" w:rsidRDefault="002925AB" w:rsidP="007673A5">
            <w:pPr>
              <w:pStyle w:val="Subtitle"/>
              <w:rPr>
                <w:lang w:val="fr-BE"/>
              </w:rPr>
            </w:pPr>
            <w:r w:rsidRPr="00834834">
              <w:rPr>
                <w:lang w:val="fr-BE"/>
              </w:rPr>
              <w:t>Écritures comptables</w:t>
            </w:r>
          </w:p>
          <w:p w14:paraId="2873ED02" w14:textId="70841BAA" w:rsidR="002925AB" w:rsidRPr="0042760A" w:rsidRDefault="002925AB" w:rsidP="00ED4F09">
            <w:pPr>
              <w:pStyle w:val="ListParagraph"/>
              <w:numPr>
                <w:ilvl w:val="0"/>
                <w:numId w:val="57"/>
              </w:numPr>
            </w:pPr>
            <w:r w:rsidRPr="0042760A">
              <w:t>L</w:t>
            </w:r>
            <w:r w:rsidR="00D0034C" w:rsidRPr="0042760A">
              <w:t>’</w:t>
            </w:r>
            <w:r w:rsidRPr="0042760A">
              <w:t>enregistrement des propositions et des ordres de recouvrement dans la comptabilité est effectué de manière à garantir une surveillance complète de toutes les créances, permettant de constater notamment :</w:t>
            </w:r>
          </w:p>
          <w:p w14:paraId="025826EB" w14:textId="468293F0" w:rsidR="002925AB" w:rsidRPr="00834834" w:rsidRDefault="002925AB" w:rsidP="00ED4F09">
            <w:pPr>
              <w:pStyle w:val="numbering2"/>
              <w:numPr>
                <w:ilvl w:val="2"/>
                <w:numId w:val="58"/>
              </w:numPr>
              <w:ind w:left="2153"/>
            </w:pPr>
            <w:proofErr w:type="gramStart"/>
            <w:r w:rsidRPr="00834834">
              <w:t>les</w:t>
            </w:r>
            <w:proofErr w:type="gramEnd"/>
            <w:r w:rsidRPr="00834834">
              <w:t xml:space="preserve"> mesures de nature à engendrer une créance qui ont été prises ;</w:t>
            </w:r>
          </w:p>
          <w:p w14:paraId="0AD9B9E6" w14:textId="1A723A5A" w:rsidR="002925AB" w:rsidRPr="00834834" w:rsidRDefault="002925AB" w:rsidP="00ED4F09">
            <w:pPr>
              <w:pStyle w:val="numbering2"/>
              <w:numPr>
                <w:ilvl w:val="2"/>
                <w:numId w:val="58"/>
              </w:numPr>
              <w:ind w:left="2153"/>
            </w:pPr>
            <w:proofErr w:type="gramStart"/>
            <w:r w:rsidRPr="00834834">
              <w:t>les</w:t>
            </w:r>
            <w:proofErr w:type="gramEnd"/>
            <w:r w:rsidRPr="00834834">
              <w:t xml:space="preserve"> montants des créances à recouvrer ;</w:t>
            </w:r>
          </w:p>
          <w:p w14:paraId="5DBD6CB2" w14:textId="2B355235" w:rsidR="002925AB" w:rsidRPr="00834834" w:rsidRDefault="002925AB" w:rsidP="00ED4F09">
            <w:pPr>
              <w:pStyle w:val="numbering2"/>
              <w:numPr>
                <w:ilvl w:val="2"/>
                <w:numId w:val="58"/>
              </w:numPr>
              <w:ind w:left="2153"/>
            </w:pPr>
            <w:proofErr w:type="gramStart"/>
            <w:r w:rsidRPr="00834834">
              <w:t>la</w:t>
            </w:r>
            <w:proofErr w:type="gramEnd"/>
            <w:r w:rsidRPr="00834834">
              <w:t xml:space="preserve"> date d</w:t>
            </w:r>
            <w:r w:rsidR="00D0034C" w:rsidRPr="00834834">
              <w:t>’</w:t>
            </w:r>
            <w:r w:rsidRPr="00834834">
              <w:t>échéance de ces créances ;</w:t>
            </w:r>
          </w:p>
          <w:p w14:paraId="46FFC5B7" w14:textId="379F87FB" w:rsidR="002925AB" w:rsidRPr="00834834" w:rsidRDefault="002925AB" w:rsidP="00ED4F09">
            <w:pPr>
              <w:pStyle w:val="numbering2"/>
              <w:numPr>
                <w:ilvl w:val="2"/>
                <w:numId w:val="58"/>
              </w:numPr>
              <w:ind w:left="2153"/>
            </w:pPr>
            <w:proofErr w:type="gramStart"/>
            <w:r w:rsidRPr="00834834">
              <w:t>les</w:t>
            </w:r>
            <w:proofErr w:type="gramEnd"/>
            <w:r w:rsidRPr="00834834">
              <w:t xml:space="preserve"> créances recouvrées ;</w:t>
            </w:r>
          </w:p>
          <w:p w14:paraId="5D50DEF6" w14:textId="7E308205" w:rsidR="002925AB" w:rsidRPr="00834834" w:rsidRDefault="002925AB" w:rsidP="00ED4F09">
            <w:pPr>
              <w:pStyle w:val="numbering2"/>
              <w:numPr>
                <w:ilvl w:val="2"/>
                <w:numId w:val="58"/>
              </w:numPr>
              <w:ind w:left="2153"/>
            </w:pPr>
            <w:proofErr w:type="gramStart"/>
            <w:r w:rsidRPr="00834834">
              <w:t>les</w:t>
            </w:r>
            <w:proofErr w:type="gramEnd"/>
            <w:r w:rsidRPr="00834834">
              <w:t xml:space="preserve"> recouvrements non intervenus, bien que les créances soient venues à échéance.</w:t>
            </w:r>
          </w:p>
          <w:p w14:paraId="02866946" w14:textId="05295620" w:rsidR="004A2404"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50</w:t>
            </w:r>
          </w:p>
          <w:p w14:paraId="7981571A" w14:textId="79E1F67C" w:rsidR="003D7AE0" w:rsidRPr="00834834" w:rsidRDefault="00BB5547" w:rsidP="007673A5">
            <w:pPr>
              <w:pStyle w:val="Subtitle"/>
              <w:rPr>
                <w:lang w:val="fr-BE"/>
              </w:rPr>
            </w:pPr>
            <w:r w:rsidRPr="00834834">
              <w:rPr>
                <w:lang w:val="fr-BE"/>
              </w:rPr>
              <w:t>Utilisation obligatoire des comptes bancaires</w:t>
            </w:r>
          </w:p>
          <w:p w14:paraId="71F774E2" w14:textId="77777777" w:rsidR="004A2404" w:rsidRPr="00834834" w:rsidRDefault="004A2404" w:rsidP="0042760A">
            <w:pPr>
              <w:rPr>
                <w:lang w:val="fr-BE"/>
              </w:rPr>
            </w:pPr>
            <w:r w:rsidRPr="00834834">
              <w:rPr>
                <w:lang w:val="fr-BE"/>
              </w:rPr>
              <w:t>Les paiements aux Écoles s’effectuent par l’intermédiaire d’un compte bancaire.</w:t>
            </w:r>
          </w:p>
          <w:p w14:paraId="3D4BFD5C" w14:textId="59124E88"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51</w:t>
            </w:r>
          </w:p>
          <w:p w14:paraId="2743849F" w14:textId="6CB9E7C8" w:rsidR="004A2404" w:rsidRPr="00834834" w:rsidRDefault="00BB5547" w:rsidP="007673A5">
            <w:pPr>
              <w:pStyle w:val="Subtitle"/>
              <w:rPr>
                <w:lang w:val="fr-BE"/>
              </w:rPr>
            </w:pPr>
            <w:r w:rsidRPr="00834834">
              <w:rPr>
                <w:lang w:val="fr-BE"/>
              </w:rPr>
              <w:t>Contributions des Parties Contractantes</w:t>
            </w:r>
          </w:p>
          <w:p w14:paraId="64438533" w14:textId="459B3F66" w:rsidR="004A2404" w:rsidRPr="00834834" w:rsidRDefault="004A2404" w:rsidP="0042760A">
            <w:pPr>
              <w:rPr>
                <w:lang w:val="fr-BE"/>
              </w:rPr>
            </w:pPr>
            <w:r w:rsidRPr="00834834">
              <w:rPr>
                <w:lang w:val="fr-BE"/>
              </w:rPr>
              <w:t>Les ressources propres et les contributions des Parties contractantes visées à l’article 25 de la Convention portant Statut des Écoles européennes font l</w:t>
            </w:r>
            <w:r w:rsidR="00D0034C" w:rsidRPr="00834834">
              <w:rPr>
                <w:lang w:val="fr-BE"/>
              </w:rPr>
              <w:t>’</w:t>
            </w:r>
            <w:r w:rsidRPr="00834834">
              <w:rPr>
                <w:lang w:val="fr-BE"/>
              </w:rPr>
              <w:t>objet d</w:t>
            </w:r>
            <w:r w:rsidR="00D0034C" w:rsidRPr="00834834">
              <w:rPr>
                <w:lang w:val="fr-BE"/>
              </w:rPr>
              <w:t>’</w:t>
            </w:r>
            <w:r w:rsidRPr="00834834">
              <w:rPr>
                <w:lang w:val="fr-BE"/>
              </w:rPr>
              <w:t>une prévision inscrite au budget. Leur mise à disposition s</w:t>
            </w:r>
            <w:r w:rsidR="00D0034C" w:rsidRPr="00834834">
              <w:rPr>
                <w:lang w:val="fr-BE"/>
              </w:rPr>
              <w:t>’</w:t>
            </w:r>
            <w:r w:rsidRPr="00834834">
              <w:rPr>
                <w:lang w:val="fr-BE"/>
              </w:rPr>
              <w:t>effectue conformément aux décisions prises par le Conseil supérieur ou aux articles 52 et 53 du présent Règlement.</w:t>
            </w:r>
          </w:p>
          <w:p w14:paraId="0D59F3A3" w14:textId="7110B376" w:rsidR="004A2404" w:rsidRPr="00834834" w:rsidRDefault="004A2404" w:rsidP="0042760A">
            <w:pPr>
              <w:pStyle w:val="Subtitle"/>
              <w:rPr>
                <w:lang w:val="fr-BE"/>
              </w:rPr>
            </w:pPr>
            <w:r w:rsidRPr="00834834">
              <w:rPr>
                <w:lang w:val="fr-BE"/>
              </w:rPr>
              <w:t>Article 52</w:t>
            </w:r>
          </w:p>
          <w:p w14:paraId="4EE45C3A" w14:textId="617CCD1A" w:rsidR="004A2404" w:rsidRPr="00834834" w:rsidRDefault="004A2404" w:rsidP="0042760A">
            <w:pPr>
              <w:pStyle w:val="Subtitle"/>
              <w:rPr>
                <w:lang w:val="fr-BE"/>
              </w:rPr>
            </w:pPr>
            <w:r w:rsidRPr="00834834">
              <w:rPr>
                <w:lang w:val="fr-BE"/>
              </w:rPr>
              <w:t>Contribution du budget de l</w:t>
            </w:r>
            <w:r w:rsidR="00D0034C" w:rsidRPr="00834834">
              <w:rPr>
                <w:lang w:val="fr-BE"/>
              </w:rPr>
              <w:t>’</w:t>
            </w:r>
            <w:r w:rsidRPr="00834834">
              <w:rPr>
                <w:lang w:val="fr-BE"/>
              </w:rPr>
              <w:t>Union européenne</w:t>
            </w:r>
          </w:p>
          <w:p w14:paraId="29B2F6C3" w14:textId="43A86F32" w:rsidR="004A2404" w:rsidRPr="00834834" w:rsidRDefault="004A2404" w:rsidP="0042760A">
            <w:pPr>
              <w:rPr>
                <w:lang w:val="fr-BE"/>
              </w:rPr>
            </w:pPr>
            <w:r w:rsidRPr="00834834">
              <w:rPr>
                <w:lang w:val="fr-BE"/>
              </w:rPr>
              <w:t>La contribution du budget de l’Union européenne visée à l</w:t>
            </w:r>
            <w:r w:rsidR="00D0034C" w:rsidRPr="00834834">
              <w:rPr>
                <w:lang w:val="fr-BE"/>
              </w:rPr>
              <w:t>’</w:t>
            </w:r>
            <w:r w:rsidRPr="00834834">
              <w:rPr>
                <w:lang w:val="fr-BE"/>
              </w:rPr>
              <w:t>article 1, paragraphe 2, est versée :</w:t>
            </w:r>
          </w:p>
          <w:p w14:paraId="51B15A93" w14:textId="7F16C421" w:rsidR="004A2404" w:rsidRPr="00834834" w:rsidRDefault="004A2404" w:rsidP="00ED4F09">
            <w:pPr>
              <w:pStyle w:val="numbering2"/>
              <w:numPr>
                <w:ilvl w:val="2"/>
                <w:numId w:val="59"/>
              </w:numPr>
              <w:ind w:left="2153"/>
            </w:pPr>
            <w:proofErr w:type="gramStart"/>
            <w:r w:rsidRPr="00834834">
              <w:t>à</w:t>
            </w:r>
            <w:proofErr w:type="gramEnd"/>
            <w:r w:rsidRPr="00834834">
              <w:t xml:space="preserve"> concurrence de six douzièmes de la somme figurant au budget, au plus tard le 15 janvier de l</w:t>
            </w:r>
            <w:r w:rsidR="00D0034C" w:rsidRPr="00834834">
              <w:t>’</w:t>
            </w:r>
            <w:r w:rsidRPr="00834834">
              <w:t>année N ;</w:t>
            </w:r>
          </w:p>
          <w:p w14:paraId="1BEC9B09" w14:textId="276F0F6A" w:rsidR="004A2404" w:rsidRPr="00834834" w:rsidRDefault="004A2404" w:rsidP="00ED4F09">
            <w:pPr>
              <w:pStyle w:val="numbering2"/>
              <w:numPr>
                <w:ilvl w:val="2"/>
                <w:numId w:val="59"/>
              </w:numPr>
              <w:ind w:left="2153"/>
              <w:rPr>
                <w:bCs/>
              </w:rPr>
            </w:pPr>
            <w:proofErr w:type="gramStart"/>
            <w:r w:rsidRPr="00834834">
              <w:t>à</w:t>
            </w:r>
            <w:proofErr w:type="gramEnd"/>
            <w:r w:rsidRPr="00834834">
              <w:t xml:space="preserve"> concurrence de quatre douzièmes, au plus tard le 15 juin de l</w:t>
            </w:r>
            <w:r w:rsidR="00D0034C" w:rsidRPr="00834834">
              <w:t>’</w:t>
            </w:r>
            <w:r w:rsidRPr="00834834">
              <w:t>année N ;</w:t>
            </w:r>
          </w:p>
          <w:p w14:paraId="5F0475BE" w14:textId="6AAF1EDC" w:rsidR="004A2404" w:rsidRPr="00834834" w:rsidRDefault="004A2404" w:rsidP="00ED4F09">
            <w:pPr>
              <w:pStyle w:val="numbering2"/>
              <w:numPr>
                <w:ilvl w:val="2"/>
                <w:numId w:val="59"/>
              </w:numPr>
              <w:ind w:left="2153"/>
            </w:pPr>
            <w:proofErr w:type="gramStart"/>
            <w:r w:rsidRPr="00834834">
              <w:t>à</w:t>
            </w:r>
            <w:proofErr w:type="gramEnd"/>
            <w:r w:rsidRPr="00834834">
              <w:t xml:space="preserve"> concurrence des douzièmes restants dus, au plus tard le 15 novembre de l</w:t>
            </w:r>
            <w:r w:rsidR="00D0034C" w:rsidRPr="00834834">
              <w:t>’</w:t>
            </w:r>
            <w:r w:rsidRPr="00834834">
              <w:t>année N, compte tenu des besoins réels.</w:t>
            </w:r>
          </w:p>
          <w:p w14:paraId="4925F32F" w14:textId="77777777" w:rsidR="004A2404" w:rsidRPr="00834834" w:rsidRDefault="004A2404" w:rsidP="00C114C9">
            <w:pPr>
              <w:rPr>
                <w:lang w:val="fr-BE"/>
              </w:rPr>
            </w:pPr>
            <w:r w:rsidRPr="00834834">
              <w:rPr>
                <w:lang w:val="fr-BE"/>
              </w:rPr>
              <w:t>Le dernier versement de cette contribution sera effectué sur base d’un appel de fonds appuyé sur les pièces justificatives suivantes :</w:t>
            </w:r>
          </w:p>
          <w:p w14:paraId="4FEF20E6" w14:textId="0531C35E" w:rsidR="004A2404" w:rsidRPr="00834834" w:rsidRDefault="004A2404" w:rsidP="00ED4F09">
            <w:pPr>
              <w:pStyle w:val="numbering2"/>
              <w:numPr>
                <w:ilvl w:val="2"/>
                <w:numId w:val="60"/>
              </w:numPr>
              <w:ind w:left="2153"/>
              <w:rPr>
                <w:bCs/>
              </w:rPr>
            </w:pPr>
            <w:r w:rsidRPr="00834834">
              <w:t>La situation de trésorerie arrêtée le 15 septembre de l</w:t>
            </w:r>
            <w:r w:rsidR="00D0034C" w:rsidRPr="00834834">
              <w:t>’</w:t>
            </w:r>
            <w:r w:rsidRPr="00834834">
              <w:t>année N ;</w:t>
            </w:r>
          </w:p>
          <w:p w14:paraId="23CDF4B1" w14:textId="6120A99D" w:rsidR="004A2404" w:rsidRPr="00834834" w:rsidRDefault="004A2404" w:rsidP="00ED4F09">
            <w:pPr>
              <w:pStyle w:val="numbering2"/>
              <w:numPr>
                <w:ilvl w:val="2"/>
                <w:numId w:val="60"/>
              </w:numPr>
              <w:ind w:left="2153"/>
            </w:pPr>
            <w:r w:rsidRPr="00834834">
              <w:t>Une situation budgétaire montrant la consommation des crédits par ligne budgétaire, leurs taux d</w:t>
            </w:r>
            <w:r w:rsidR="00D0034C" w:rsidRPr="00834834">
              <w:t>’</w:t>
            </w:r>
            <w:r w:rsidRPr="00834834">
              <w:t>utilisation ainsi qu</w:t>
            </w:r>
            <w:r w:rsidR="00D0034C" w:rsidRPr="00834834">
              <w:t>’</w:t>
            </w:r>
            <w:r w:rsidRPr="00834834">
              <w:t>une projection actualisée de cette consommation jusqu</w:t>
            </w:r>
            <w:r w:rsidR="00D0034C" w:rsidRPr="00834834">
              <w:t>’</w:t>
            </w:r>
            <w:r w:rsidRPr="00834834">
              <w:t>à la fin de l</w:t>
            </w:r>
            <w:r w:rsidR="00D0034C" w:rsidRPr="00834834">
              <w:t>’</w:t>
            </w:r>
            <w:r w:rsidRPr="00834834">
              <w:t>exercice ;</w:t>
            </w:r>
          </w:p>
          <w:p w14:paraId="2F30FBAD" w14:textId="48795D06" w:rsidR="004A2404" w:rsidRPr="00834834" w:rsidRDefault="004A2404" w:rsidP="00C114C9">
            <w:pPr>
              <w:rPr>
                <w:bCs/>
                <w:lang w:val="fr-BE"/>
              </w:rPr>
            </w:pPr>
            <w:r w:rsidRPr="00834834">
              <w:rPr>
                <w:lang w:val="fr-BE"/>
              </w:rPr>
              <w:t>Le comptable fournit ces documents à l</w:t>
            </w:r>
            <w:r w:rsidR="00D0034C" w:rsidRPr="00834834">
              <w:rPr>
                <w:lang w:val="fr-BE"/>
              </w:rPr>
              <w:t>’</w:t>
            </w:r>
            <w:r w:rsidRPr="00834834">
              <w:rPr>
                <w:lang w:val="fr-BE"/>
              </w:rPr>
              <w:t>Union européenne pour le 22 septembre de l</w:t>
            </w:r>
            <w:r w:rsidR="00D0034C" w:rsidRPr="00834834">
              <w:rPr>
                <w:lang w:val="fr-BE"/>
              </w:rPr>
              <w:t>’</w:t>
            </w:r>
            <w:r w:rsidRPr="00834834">
              <w:rPr>
                <w:lang w:val="fr-BE"/>
              </w:rPr>
              <w:t>année N au plus tard.</w:t>
            </w:r>
          </w:p>
          <w:p w14:paraId="0533D95E" w14:textId="12298233" w:rsidR="004A2404" w:rsidRPr="00834834" w:rsidRDefault="004A2404" w:rsidP="007673A5">
            <w:pPr>
              <w:pStyle w:val="Subtitle"/>
              <w:rPr>
                <w:strike/>
                <w:lang w:val="fr-BE"/>
              </w:rPr>
            </w:pPr>
            <w:r w:rsidRPr="00834834">
              <w:rPr>
                <w:lang w:val="fr-BE"/>
              </w:rPr>
              <w:lastRenderedPageBreak/>
              <w:t>Article</w:t>
            </w:r>
            <w:r w:rsidR="00D0034C" w:rsidRPr="00834834">
              <w:rPr>
                <w:lang w:val="fr-BE"/>
              </w:rPr>
              <w:t> </w:t>
            </w:r>
            <w:r w:rsidRPr="00834834">
              <w:rPr>
                <w:lang w:val="fr-BE"/>
              </w:rPr>
              <w:t>53</w:t>
            </w:r>
          </w:p>
          <w:p w14:paraId="3126A37F" w14:textId="4A20229F" w:rsidR="004A2404" w:rsidRPr="00834834" w:rsidRDefault="004A2404" w:rsidP="007673A5">
            <w:pPr>
              <w:pStyle w:val="Subtitle"/>
              <w:rPr>
                <w:lang w:val="fr-BE"/>
              </w:rPr>
            </w:pPr>
            <w:r w:rsidRPr="00834834">
              <w:rPr>
                <w:lang w:val="fr-BE"/>
              </w:rPr>
              <w:t>Contribution de l</w:t>
            </w:r>
            <w:r w:rsidR="00D0034C" w:rsidRPr="00834834">
              <w:rPr>
                <w:lang w:val="fr-BE"/>
              </w:rPr>
              <w:t>’</w:t>
            </w:r>
            <w:r w:rsidRPr="00834834">
              <w:rPr>
                <w:lang w:val="fr-BE"/>
              </w:rPr>
              <w:t>Office européen des brevets</w:t>
            </w:r>
          </w:p>
          <w:p w14:paraId="3CA22B9D" w14:textId="4B01BFC3" w:rsidR="00211854" w:rsidRPr="00834834" w:rsidRDefault="004A2404" w:rsidP="00C114C9">
            <w:pPr>
              <w:rPr>
                <w:lang w:val="fr-BE"/>
              </w:rPr>
            </w:pPr>
            <w:r w:rsidRPr="00834834">
              <w:rPr>
                <w:lang w:val="fr-BE"/>
              </w:rPr>
              <w:t>La contribution de l</w:t>
            </w:r>
            <w:r w:rsidR="00D0034C" w:rsidRPr="00834834">
              <w:rPr>
                <w:lang w:val="fr-BE"/>
              </w:rPr>
              <w:t>’</w:t>
            </w:r>
            <w:r w:rsidRPr="00834834">
              <w:rPr>
                <w:lang w:val="fr-BE"/>
              </w:rPr>
              <w:t>Office européen des brevets visée à l</w:t>
            </w:r>
            <w:r w:rsidR="00D0034C" w:rsidRPr="00834834">
              <w:rPr>
                <w:lang w:val="fr-BE"/>
              </w:rPr>
              <w:t>’</w:t>
            </w:r>
            <w:r w:rsidRPr="00834834">
              <w:rPr>
                <w:lang w:val="fr-BE"/>
              </w:rPr>
              <w:t>article 2 de l</w:t>
            </w:r>
            <w:r w:rsidR="00D0034C" w:rsidRPr="00834834">
              <w:rPr>
                <w:lang w:val="fr-BE"/>
              </w:rPr>
              <w:t>’</w:t>
            </w:r>
            <w:r w:rsidRPr="00834834">
              <w:rPr>
                <w:lang w:val="fr-BE"/>
              </w:rPr>
              <w:t>Accord du 7 novembre 1977 passé avec le Conseil supérieur est versée, en vertu de l</w:t>
            </w:r>
            <w:r w:rsidR="00D0034C" w:rsidRPr="00834834">
              <w:rPr>
                <w:lang w:val="fr-BE"/>
              </w:rPr>
              <w:t>’</w:t>
            </w:r>
            <w:r w:rsidRPr="00834834">
              <w:rPr>
                <w:lang w:val="fr-BE"/>
              </w:rPr>
              <w:t>article 3 dudit Accord, par anticipation en tranches trimestrielles égales. L</w:t>
            </w:r>
            <w:r w:rsidR="00D0034C" w:rsidRPr="00834834">
              <w:rPr>
                <w:lang w:val="fr-BE"/>
              </w:rPr>
              <w:t>’</w:t>
            </w:r>
            <w:r w:rsidRPr="00834834">
              <w:rPr>
                <w:lang w:val="fr-BE"/>
              </w:rPr>
              <w:t>appel à cette contribution sera appuyé par les documents dont question à l’article 52 du présent Règlement.</w:t>
            </w:r>
          </w:p>
          <w:p w14:paraId="0C1BB1E9" w14:textId="76768A3D" w:rsidR="006D3B43" w:rsidRPr="00834834" w:rsidRDefault="00734FAB" w:rsidP="00C114C9">
            <w:pPr>
              <w:pStyle w:val="Heading2"/>
            </w:pPr>
            <w:r w:rsidRPr="00834834">
              <w:t>SECTION V</w:t>
            </w:r>
          </w:p>
          <w:p w14:paraId="3C965A79" w14:textId="1BE17610" w:rsidR="0003750B" w:rsidRPr="00834834" w:rsidRDefault="004A2404" w:rsidP="00C114C9">
            <w:pPr>
              <w:pStyle w:val="Heading2"/>
            </w:pPr>
            <w:r w:rsidRPr="00834834">
              <w:t>OPÉRATIONS DE DÉPENSES</w:t>
            </w:r>
          </w:p>
          <w:p w14:paraId="0D514C0D" w14:textId="7E90319B" w:rsidR="00E302C6" w:rsidRPr="00834834" w:rsidRDefault="00BB5547" w:rsidP="007673A5">
            <w:pPr>
              <w:pStyle w:val="Subtitle"/>
              <w:rPr>
                <w:lang w:val="fr-BE"/>
              </w:rPr>
            </w:pPr>
            <w:r w:rsidRPr="00834834">
              <w:rPr>
                <w:lang w:val="fr-BE"/>
              </w:rPr>
              <w:t>Article</w:t>
            </w:r>
            <w:r w:rsidR="00D0034C" w:rsidRPr="00834834">
              <w:rPr>
                <w:lang w:val="fr-BE"/>
              </w:rPr>
              <w:t> </w:t>
            </w:r>
            <w:r w:rsidRPr="00834834">
              <w:rPr>
                <w:lang w:val="fr-BE"/>
              </w:rPr>
              <w:t>54</w:t>
            </w:r>
          </w:p>
          <w:p w14:paraId="1049B4A5" w14:textId="3CDD7F3B" w:rsidR="00CC793E" w:rsidRPr="00834834" w:rsidRDefault="00CC793E" w:rsidP="007673A5">
            <w:pPr>
              <w:pStyle w:val="Subtitle"/>
              <w:rPr>
                <w:lang w:val="fr-BE"/>
              </w:rPr>
            </w:pPr>
            <w:r w:rsidRPr="00834834">
              <w:rPr>
                <w:lang w:val="fr-BE"/>
              </w:rPr>
              <w:t>Engagements de dépenses</w:t>
            </w:r>
          </w:p>
          <w:p w14:paraId="041BE8C7" w14:textId="77777777" w:rsidR="007D48C5" w:rsidRPr="00C114C9" w:rsidRDefault="004A2404" w:rsidP="00ED4F09">
            <w:pPr>
              <w:pStyle w:val="ListParagraph"/>
              <w:numPr>
                <w:ilvl w:val="0"/>
                <w:numId w:val="61"/>
              </w:numPr>
              <w:rPr>
                <w:rStyle w:val="Corpsdutexte"/>
                <w:rFonts w:cs="Times New Roman"/>
                <w:sz w:val="22"/>
                <w:szCs w:val="20"/>
                <w:shd w:val="clear" w:color="auto" w:fill="auto"/>
              </w:rPr>
            </w:pPr>
            <w:r w:rsidRPr="00C114C9">
              <w:rPr>
                <w:rStyle w:val="Corpsdutexte"/>
                <w:rFonts w:cs="Times New Roman"/>
                <w:sz w:val="22"/>
                <w:szCs w:val="20"/>
                <w:shd w:val="clear" w:color="auto" w:fill="auto"/>
              </w:rPr>
              <w:t>Toute mesure de nature à provoquer une dépense à la charge du budget doit faire préalablement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objet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une proposition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engagement de la part de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 xml:space="preserve">ordonnateur responsable </w:t>
            </w:r>
            <w:r w:rsidRPr="00C114C9">
              <w:t>contenant les informations prévues à l</w:t>
            </w:r>
            <w:r w:rsidR="00D0034C" w:rsidRPr="00C114C9">
              <w:t>’</w:t>
            </w:r>
            <w:r w:rsidRPr="00C114C9">
              <w:t>article 55.</w:t>
            </w:r>
            <w:r w:rsidRPr="00C114C9">
              <w:rPr>
                <w:rStyle w:val="Corpsdutexte"/>
                <w:rFonts w:cs="Times New Roman"/>
                <w:sz w:val="22"/>
                <w:szCs w:val="20"/>
                <w:shd w:val="clear" w:color="auto" w:fill="auto"/>
              </w:rPr>
              <w:t xml:space="preserve"> Les dépenses courantes peuvent faire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objet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un engagement provisionnel.</w:t>
            </w:r>
          </w:p>
          <w:p w14:paraId="49D1253B" w14:textId="77777777" w:rsidR="007D48C5" w:rsidRPr="00C114C9" w:rsidRDefault="00C340A0" w:rsidP="00ED4F09">
            <w:pPr>
              <w:pStyle w:val="ListParagraph"/>
              <w:numPr>
                <w:ilvl w:val="0"/>
                <w:numId w:val="61"/>
              </w:numPr>
            </w:pPr>
            <w:r w:rsidRPr="00C114C9">
              <w:t>Dans les cas d</w:t>
            </w:r>
            <w:r w:rsidR="00D0034C" w:rsidRPr="00C114C9">
              <w:t>’</w:t>
            </w:r>
            <w:r w:rsidRPr="00C114C9">
              <w:t>engagements budgétaires provisionnels, l</w:t>
            </w:r>
            <w:r w:rsidR="00D0034C" w:rsidRPr="00C114C9">
              <w:t>’</w:t>
            </w:r>
            <w:r w:rsidRPr="00C114C9">
              <w:t>ordonnateur est tenu de vérifier, sous sa responsabilité, que les engagements juridiques individuels ne dépassent pas l</w:t>
            </w:r>
            <w:r w:rsidR="00D0034C" w:rsidRPr="00C114C9">
              <w:t>’</w:t>
            </w:r>
            <w:r w:rsidRPr="00C114C9">
              <w:t>engagement budgétaire provisionnel qui les couvre.</w:t>
            </w:r>
          </w:p>
          <w:p w14:paraId="7DB08EF6" w14:textId="77777777" w:rsidR="007D48C5" w:rsidRPr="00C114C9" w:rsidRDefault="00674633" w:rsidP="00C114C9">
            <w:pPr>
              <w:pStyle w:val="ListParagraph"/>
              <w:ind w:left="1117"/>
            </w:pPr>
            <w:r w:rsidRPr="00C114C9">
              <w:t>Ces engagements budgétaires provisionnels ne peuvent donner lieu à des reports de crédits de droit que sous réserve des conditions prévues à l</w:t>
            </w:r>
            <w:r w:rsidR="00D0034C" w:rsidRPr="00C114C9">
              <w:t>’</w:t>
            </w:r>
            <w:r w:rsidRPr="00C114C9">
              <w:t>article</w:t>
            </w:r>
            <w:r w:rsidR="00D0034C" w:rsidRPr="00C114C9">
              <w:t> </w:t>
            </w:r>
            <w:r w:rsidRPr="00C114C9">
              <w:t>14 et dans la mesure où ils correspondent, à la fin de l</w:t>
            </w:r>
            <w:r w:rsidR="00D0034C" w:rsidRPr="00C114C9">
              <w:t>’</w:t>
            </w:r>
            <w:r w:rsidRPr="00C114C9">
              <w:t>exercice, à des obligations financières effectivement contractées avant les dates limites fixées par le présent Règlement.</w:t>
            </w:r>
          </w:p>
          <w:p w14:paraId="112AFEA3" w14:textId="77777777" w:rsidR="007D48C5" w:rsidRPr="00C114C9" w:rsidRDefault="004A2404" w:rsidP="00ED4F09">
            <w:pPr>
              <w:pStyle w:val="ListParagraph"/>
              <w:numPr>
                <w:ilvl w:val="0"/>
                <w:numId w:val="61"/>
              </w:numPr>
            </w:pPr>
            <w:r w:rsidRPr="00C114C9">
              <w:t xml:space="preserve">La </w:t>
            </w:r>
            <w:r w:rsidRPr="00C114C9">
              <w:rPr>
                <w:rStyle w:val="Corpsdutexte"/>
                <w:rFonts w:cs="Times New Roman"/>
                <w:sz w:val="22"/>
                <w:szCs w:val="20"/>
                <w:shd w:val="clear" w:color="auto" w:fill="auto"/>
              </w:rPr>
              <w:t>procédure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application du paragraphe 1 permet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assurer,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après les besoins réels,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exacte comptabilisation des engagements et des ordonnancements.</w:t>
            </w:r>
          </w:p>
          <w:p w14:paraId="34884C29" w14:textId="1BD3387E" w:rsidR="006E21EC" w:rsidRPr="00C114C9" w:rsidRDefault="00021344" w:rsidP="00ED4F09">
            <w:pPr>
              <w:pStyle w:val="ListParagraph"/>
              <w:numPr>
                <w:ilvl w:val="0"/>
                <w:numId w:val="61"/>
              </w:numPr>
            </w:pPr>
            <w:r w:rsidRPr="00C114C9">
              <w:t>Si, pour certaines mesures de nature à provoquer une dépense, la dépense ne peut pas encore être chiffrée d</w:t>
            </w:r>
            <w:r w:rsidR="00D0034C" w:rsidRPr="00C114C9">
              <w:t>’</w:t>
            </w:r>
            <w:r w:rsidRPr="00C114C9">
              <w:t>une façon exacte au moment où la proposition d</w:t>
            </w:r>
            <w:r w:rsidR="00D0034C" w:rsidRPr="00C114C9">
              <w:t>’</w:t>
            </w:r>
            <w:r w:rsidRPr="00C114C9">
              <w:t>engagement y relative est communiquée au/à la comptable, l</w:t>
            </w:r>
            <w:r w:rsidR="00D0034C" w:rsidRPr="00C114C9">
              <w:t>’</w:t>
            </w:r>
            <w:r w:rsidRPr="00C114C9">
              <w:t>ordonnateur ou ordonnatrice doit faire une évaluation détaillée de la dépense présumée, dans son engagement.</w:t>
            </w:r>
          </w:p>
          <w:p w14:paraId="39B3F45E" w14:textId="54A34B63" w:rsidR="00C114C9" w:rsidRPr="00C114C9" w:rsidRDefault="004A2404" w:rsidP="00C114C9">
            <w:pPr>
              <w:pStyle w:val="Subtitle"/>
            </w:pPr>
            <w:r w:rsidRPr="00C114C9">
              <w:t>Article</w:t>
            </w:r>
            <w:r w:rsidR="00D0034C" w:rsidRPr="00C114C9">
              <w:t> </w:t>
            </w:r>
            <w:r w:rsidRPr="00C114C9">
              <w:t>5</w:t>
            </w:r>
            <w:r w:rsidR="003322BD">
              <w:t>5</w:t>
            </w:r>
          </w:p>
          <w:p w14:paraId="6BDE8288" w14:textId="1F5FCFCF" w:rsidR="004A2404" w:rsidRPr="003322BD" w:rsidRDefault="004A2404" w:rsidP="00C114C9">
            <w:pPr>
              <w:pStyle w:val="Subtitle"/>
              <w:rPr>
                <w:lang w:val="fr-BE"/>
              </w:rPr>
            </w:pPr>
            <w:r w:rsidRPr="003322BD">
              <w:rPr>
                <w:lang w:val="fr-BE"/>
              </w:rPr>
              <w:t>Approbation d</w:t>
            </w:r>
            <w:r w:rsidR="00D0034C" w:rsidRPr="003322BD">
              <w:rPr>
                <w:lang w:val="fr-BE"/>
              </w:rPr>
              <w:t>’</w:t>
            </w:r>
            <w:r w:rsidRPr="003322BD">
              <w:rPr>
                <w:lang w:val="fr-BE"/>
              </w:rPr>
              <w:t>engagements de dépenses</w:t>
            </w:r>
          </w:p>
          <w:p w14:paraId="524279BD" w14:textId="3EA78A3F" w:rsidR="002C70C7" w:rsidRPr="00C114C9" w:rsidRDefault="002C70C7" w:rsidP="00ED4F09">
            <w:pPr>
              <w:pStyle w:val="ListParagraph"/>
              <w:numPr>
                <w:ilvl w:val="0"/>
                <w:numId w:val="62"/>
              </w:numPr>
              <w:rPr>
                <w:rStyle w:val="Corpsdutexte"/>
                <w:rFonts w:cs="Times New Roman"/>
                <w:sz w:val="22"/>
                <w:szCs w:val="20"/>
                <w:shd w:val="clear" w:color="auto" w:fill="auto"/>
              </w:rPr>
            </w:pPr>
            <w:r w:rsidRPr="00C114C9">
              <w:rPr>
                <w:rStyle w:val="Corpsdutexte"/>
                <w:rFonts w:cs="Times New Roman"/>
                <w:sz w:val="22"/>
                <w:szCs w:val="20"/>
                <w:shd w:val="clear" w:color="auto" w:fill="auto"/>
              </w:rPr>
              <w:t>Les propositions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engagement, accompagnées des pièces justificatives, sont transmises à l’ordonnateur responsable pour approbation et au comptable pour information : elles mentionnent notamment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objet,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évaluation,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imputation budgétaire de la dépense et la désignation du créancier ; elles font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objet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 xml:space="preserve">un enregistrement </w:t>
            </w:r>
            <w:r w:rsidRPr="00C114C9">
              <w:t>par la comptabilité de l</w:t>
            </w:r>
            <w:r w:rsidR="00D0034C" w:rsidRPr="00C114C9">
              <w:t>’</w:t>
            </w:r>
            <w:r w:rsidRPr="00C114C9">
              <w:t>École ou du Bureau du Secrétaire général. Cet enregistrement doit permettre de constater, à tout moment, quels sont, par poste ou rubrique budgétaire, les montants des engagements contractés, les paiements y relatifs effectués, le solde des engagements restant à payer, ainsi que les crédits disponibles.</w:t>
            </w:r>
          </w:p>
          <w:p w14:paraId="5EAA67DB" w14:textId="3C6F7618" w:rsidR="00935BA5" w:rsidRPr="00C114C9" w:rsidRDefault="002C70C7" w:rsidP="00ED4F09">
            <w:pPr>
              <w:pStyle w:val="ListParagraph"/>
              <w:numPr>
                <w:ilvl w:val="0"/>
                <w:numId w:val="62"/>
              </w:numPr>
            </w:pPr>
            <w:r w:rsidRPr="00C114C9">
              <w:t>L</w:t>
            </w:r>
            <w:r w:rsidR="00D0034C" w:rsidRPr="00C114C9">
              <w:t>’</w:t>
            </w:r>
            <w:r w:rsidRPr="00C114C9">
              <w:rPr>
                <w:rStyle w:val="Corpsdutexte"/>
                <w:rFonts w:cs="Times New Roman"/>
                <w:sz w:val="22"/>
                <w:szCs w:val="20"/>
                <w:shd w:val="clear" w:color="auto" w:fill="auto"/>
              </w:rPr>
              <w:t xml:space="preserve">approbation des engagements de dépenses par </w:t>
            </w:r>
            <w:r w:rsidRPr="00C114C9">
              <w:t>l’ordonnateur responsable</w:t>
            </w:r>
            <w:r w:rsidRPr="00C114C9">
              <w:rPr>
                <w:rStyle w:val="Corpsdutexte"/>
                <w:rFonts w:cs="Times New Roman"/>
                <w:sz w:val="22"/>
                <w:szCs w:val="20"/>
                <w:shd w:val="clear" w:color="auto" w:fill="auto"/>
              </w:rPr>
              <w:t xml:space="preserve"> a pour objet de constater :</w:t>
            </w:r>
          </w:p>
          <w:p w14:paraId="0A16CFA7" w14:textId="5EC0D3D9" w:rsidR="004A2404" w:rsidRPr="00C114C9" w:rsidRDefault="004A2404" w:rsidP="003322BD">
            <w:pPr>
              <w:pStyle w:val="numbering2"/>
              <w:numPr>
                <w:ilvl w:val="0"/>
                <w:numId w:val="140"/>
              </w:numPr>
              <w:ind w:left="2148"/>
            </w:pPr>
            <w:proofErr w:type="gramStart"/>
            <w:r w:rsidRPr="00C114C9">
              <w:t>l</w:t>
            </w:r>
            <w:r w:rsidR="00D0034C" w:rsidRPr="00C114C9">
              <w:t>’</w:t>
            </w:r>
            <w:r w:rsidRPr="00C114C9">
              <w:t>exactitude</w:t>
            </w:r>
            <w:proofErr w:type="gramEnd"/>
            <w:r w:rsidRPr="00C114C9">
              <w:t xml:space="preserve"> de l</w:t>
            </w:r>
            <w:r w:rsidR="00D0034C" w:rsidRPr="00C114C9">
              <w:t>’</w:t>
            </w:r>
            <w:r w:rsidRPr="00C114C9">
              <w:t>imputation budgétaire ;</w:t>
            </w:r>
          </w:p>
          <w:p w14:paraId="2828F3E4" w14:textId="66E852B4" w:rsidR="004A2404" w:rsidRPr="00C114C9" w:rsidRDefault="004A2404" w:rsidP="003322BD">
            <w:pPr>
              <w:pStyle w:val="numbering2"/>
              <w:numPr>
                <w:ilvl w:val="0"/>
                <w:numId w:val="140"/>
              </w:numPr>
              <w:ind w:left="2153"/>
            </w:pPr>
            <w:proofErr w:type="gramStart"/>
            <w:r w:rsidRPr="00C114C9">
              <w:t>la</w:t>
            </w:r>
            <w:proofErr w:type="gramEnd"/>
            <w:r w:rsidRPr="00C114C9">
              <w:t xml:space="preserve"> disponibilité des crédits ;</w:t>
            </w:r>
          </w:p>
          <w:p w14:paraId="3AA8CAC0" w14:textId="256E6550" w:rsidR="00935BA5" w:rsidRPr="00C114C9" w:rsidRDefault="004A2404" w:rsidP="003322BD">
            <w:pPr>
              <w:pStyle w:val="numbering2"/>
              <w:numPr>
                <w:ilvl w:val="0"/>
                <w:numId w:val="140"/>
              </w:numPr>
              <w:ind w:left="2153"/>
            </w:pPr>
            <w:proofErr w:type="gramStart"/>
            <w:r w:rsidRPr="00C114C9">
              <w:lastRenderedPageBreak/>
              <w:t>la</w:t>
            </w:r>
            <w:proofErr w:type="gramEnd"/>
            <w:r w:rsidRPr="00C114C9">
              <w:t xml:space="preserve"> régularité et la conformité de la dépense au regard des dispositions applicables, notamment du budget et des règlements ainsi que de tous actes d</w:t>
            </w:r>
            <w:r w:rsidR="00D0034C" w:rsidRPr="00C114C9">
              <w:t>’</w:t>
            </w:r>
            <w:r w:rsidRPr="00C114C9">
              <w:t>application des accords et des statuts ;</w:t>
            </w:r>
          </w:p>
          <w:p w14:paraId="01674A17" w14:textId="48A4F53B" w:rsidR="004A2404" w:rsidRPr="00C114C9" w:rsidRDefault="004A2404" w:rsidP="003322BD">
            <w:pPr>
              <w:pStyle w:val="numbering2"/>
              <w:numPr>
                <w:ilvl w:val="0"/>
                <w:numId w:val="140"/>
              </w:numPr>
              <w:ind w:left="2153"/>
            </w:pPr>
            <w:proofErr w:type="gramStart"/>
            <w:r w:rsidRPr="00C114C9">
              <w:t>le</w:t>
            </w:r>
            <w:proofErr w:type="gramEnd"/>
            <w:r w:rsidRPr="00C114C9">
              <w:t xml:space="preserve"> respect du principe de bonne gestion financière.</w:t>
            </w:r>
          </w:p>
          <w:p w14:paraId="7291F792" w14:textId="4AB82267" w:rsidR="004A2404" w:rsidRPr="00C114C9" w:rsidRDefault="002C70C7" w:rsidP="00ED4F09">
            <w:pPr>
              <w:pStyle w:val="ListParagraph"/>
              <w:numPr>
                <w:ilvl w:val="0"/>
                <w:numId w:val="62"/>
              </w:numPr>
            </w:pPr>
            <w:r w:rsidRPr="00C114C9">
              <w:t>Le visa ne doit pas être conditionnel.</w:t>
            </w:r>
          </w:p>
          <w:p w14:paraId="64D3841D" w14:textId="150CA8CE" w:rsidR="004A2404" w:rsidRPr="00C114C9" w:rsidRDefault="00203216" w:rsidP="00ED4F09">
            <w:pPr>
              <w:pStyle w:val="ListParagraph"/>
              <w:numPr>
                <w:ilvl w:val="0"/>
                <w:numId w:val="62"/>
              </w:numPr>
              <w:rPr>
                <w:rStyle w:val="Corpsdutexte"/>
                <w:rFonts w:cs="Times New Roman"/>
                <w:sz w:val="22"/>
                <w:szCs w:val="20"/>
                <w:shd w:val="clear" w:color="auto" w:fill="auto"/>
              </w:rPr>
            </w:pPr>
            <w:r w:rsidRPr="00C114C9">
              <w:rPr>
                <w:rStyle w:val="Corpsdutexte"/>
                <w:rFonts w:cs="Times New Roman"/>
                <w:sz w:val="22"/>
                <w:szCs w:val="20"/>
                <w:shd w:val="clear" w:color="auto" w:fill="auto"/>
              </w:rPr>
              <w:t>Le visa délivré par l’ordonnateur responsable vaut attestation pour les éléments des points a) à d) du paragraphe 2.</w:t>
            </w:r>
          </w:p>
          <w:p w14:paraId="21803D74" w14:textId="63C3CCB3" w:rsidR="00F55502"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 xml:space="preserve">56 </w:t>
            </w:r>
          </w:p>
          <w:p w14:paraId="4FC25AB7" w14:textId="77777777" w:rsidR="00CB488D" w:rsidRPr="00834834" w:rsidRDefault="00CB488D" w:rsidP="007673A5">
            <w:pPr>
              <w:pStyle w:val="Subtitle"/>
              <w:rPr>
                <w:lang w:val="fr-BE"/>
              </w:rPr>
            </w:pPr>
            <w:r w:rsidRPr="00834834">
              <w:rPr>
                <w:lang w:val="fr-BE"/>
              </w:rPr>
              <w:t>Liquidation des dépenses</w:t>
            </w:r>
          </w:p>
          <w:p w14:paraId="6E1EF492" w14:textId="0006CB22" w:rsidR="004A2404" w:rsidRPr="00C114C9" w:rsidRDefault="00CB488D" w:rsidP="00ED4F09">
            <w:pPr>
              <w:pStyle w:val="ListParagraph"/>
              <w:numPr>
                <w:ilvl w:val="0"/>
                <w:numId w:val="64"/>
              </w:numPr>
            </w:pPr>
            <w:r w:rsidRPr="00C114C9">
              <w:t>La liquidation d</w:t>
            </w:r>
            <w:r w:rsidR="00D0034C" w:rsidRPr="00C114C9">
              <w:t>’</w:t>
            </w:r>
            <w:r w:rsidRPr="00C114C9">
              <w:t>une dépense est l</w:t>
            </w:r>
            <w:r w:rsidR="00D0034C" w:rsidRPr="00C114C9">
              <w:t>’</w:t>
            </w:r>
            <w:r w:rsidRPr="00C114C9">
              <w:t>acte par lequel l</w:t>
            </w:r>
            <w:r w:rsidR="00D0034C" w:rsidRPr="00C114C9">
              <w:t>’</w:t>
            </w:r>
            <w:r w:rsidRPr="00C114C9">
              <w:t>ordonnateur ou ordonnatrice responsable :</w:t>
            </w:r>
          </w:p>
          <w:p w14:paraId="349979EE" w14:textId="36C6D891" w:rsidR="004A2404" w:rsidRPr="00834834" w:rsidRDefault="004A2404" w:rsidP="00ED4F09">
            <w:pPr>
              <w:pStyle w:val="numbering2"/>
              <w:numPr>
                <w:ilvl w:val="2"/>
                <w:numId w:val="65"/>
              </w:numPr>
              <w:ind w:left="2153"/>
            </w:pPr>
            <w:proofErr w:type="gramStart"/>
            <w:r w:rsidRPr="00834834">
              <w:t>vérifie</w:t>
            </w:r>
            <w:proofErr w:type="gramEnd"/>
            <w:r w:rsidRPr="00834834">
              <w:t xml:space="preserve"> l</w:t>
            </w:r>
            <w:r w:rsidR="00D0034C" w:rsidRPr="00834834">
              <w:t>’</w:t>
            </w:r>
            <w:r w:rsidRPr="00834834">
              <w:t>existence des droits du créancier ;</w:t>
            </w:r>
          </w:p>
          <w:p w14:paraId="7EE760B8" w14:textId="056F0C85" w:rsidR="004A2404" w:rsidRPr="00834834" w:rsidRDefault="004A2404" w:rsidP="00ED4F09">
            <w:pPr>
              <w:pStyle w:val="numbering2"/>
              <w:numPr>
                <w:ilvl w:val="2"/>
                <w:numId w:val="65"/>
              </w:numPr>
              <w:ind w:left="2153"/>
            </w:pPr>
            <w:proofErr w:type="gramStart"/>
            <w:r w:rsidRPr="00834834">
              <w:t>ou</w:t>
            </w:r>
            <w:proofErr w:type="gramEnd"/>
            <w:r w:rsidRPr="00834834">
              <w:t xml:space="preserve"> vérifie la réalité et le montant de la créance ;</w:t>
            </w:r>
          </w:p>
          <w:p w14:paraId="0D767B11" w14:textId="103FF5A1" w:rsidR="004A2404" w:rsidRPr="00834834" w:rsidRDefault="004A2404" w:rsidP="00ED4F09">
            <w:pPr>
              <w:pStyle w:val="numbering2"/>
              <w:numPr>
                <w:ilvl w:val="2"/>
                <w:numId w:val="65"/>
              </w:numPr>
              <w:ind w:left="2153"/>
            </w:pPr>
            <w:proofErr w:type="gramStart"/>
            <w:r w:rsidRPr="00834834">
              <w:t>vérifie</w:t>
            </w:r>
            <w:proofErr w:type="gramEnd"/>
            <w:r w:rsidRPr="00834834">
              <w:t xml:space="preserve"> les conditions d</w:t>
            </w:r>
            <w:r w:rsidR="00D0034C" w:rsidRPr="00834834">
              <w:t>’</w:t>
            </w:r>
            <w:r w:rsidRPr="00834834">
              <w:t>exigibilité de la créance.</w:t>
            </w:r>
          </w:p>
          <w:p w14:paraId="155BF759" w14:textId="5D00C600" w:rsidR="007E1391" w:rsidRPr="00C114C9" w:rsidRDefault="00CB488D" w:rsidP="00ED4F09">
            <w:pPr>
              <w:pStyle w:val="ListParagraph"/>
              <w:numPr>
                <w:ilvl w:val="0"/>
                <w:numId w:val="64"/>
              </w:numPr>
              <w:rPr>
                <w:rStyle w:val="Corpsdutexte"/>
                <w:rFonts w:cs="Times New Roman"/>
                <w:sz w:val="22"/>
                <w:szCs w:val="20"/>
                <w:shd w:val="clear" w:color="auto" w:fill="auto"/>
              </w:rPr>
            </w:pPr>
            <w:r w:rsidRPr="00C114C9">
              <w:t xml:space="preserve">Toute liquidation </w:t>
            </w:r>
            <w:r w:rsidRPr="00C114C9">
              <w:rPr>
                <w:rStyle w:val="Corpsdutexte"/>
                <w:rFonts w:cs="Times New Roman"/>
                <w:sz w:val="22"/>
                <w:szCs w:val="20"/>
                <w:shd w:val="clear" w:color="auto" w:fill="auto"/>
              </w:rPr>
              <w:t>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une dépense est subordonnée à la présentation des pièces justificatives attestant les droits acquis du créancier et le service fourni, les marchandises effectivement livrées ou les travaux effectivement réalisés ou l</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existence d</w:t>
            </w:r>
            <w:r w:rsidR="00D0034C" w:rsidRPr="00C114C9">
              <w:rPr>
                <w:rStyle w:val="Corpsdutexte"/>
                <w:rFonts w:cs="Times New Roman"/>
                <w:sz w:val="22"/>
                <w:szCs w:val="20"/>
                <w:shd w:val="clear" w:color="auto" w:fill="auto"/>
              </w:rPr>
              <w:t>’</w:t>
            </w:r>
            <w:r w:rsidRPr="00C114C9">
              <w:rPr>
                <w:rStyle w:val="Corpsdutexte"/>
                <w:rFonts w:cs="Times New Roman"/>
                <w:sz w:val="22"/>
                <w:szCs w:val="20"/>
                <w:shd w:val="clear" w:color="auto" w:fill="auto"/>
              </w:rPr>
              <w:t xml:space="preserve">un titre justifiant le paiement. </w:t>
            </w:r>
          </w:p>
          <w:p w14:paraId="042CBF58" w14:textId="01B8D3AF" w:rsidR="00ED3569" w:rsidRPr="00C114C9" w:rsidRDefault="00BC2E81" w:rsidP="00ED4F09">
            <w:pPr>
              <w:pStyle w:val="ListParagraph"/>
              <w:numPr>
                <w:ilvl w:val="0"/>
                <w:numId w:val="64"/>
              </w:numPr>
            </w:pPr>
            <w:r w:rsidRPr="00C114C9">
              <w:t>L</w:t>
            </w:r>
            <w:r w:rsidR="00D0034C" w:rsidRPr="00C114C9">
              <w:t>’</w:t>
            </w:r>
            <w:r w:rsidRPr="00C114C9">
              <w:t>ordonnateur ou ordonnatrice habilité(e) à liquider les dépenses procède personnellement à l</w:t>
            </w:r>
            <w:r w:rsidR="00D0034C" w:rsidRPr="00C114C9">
              <w:t>’</w:t>
            </w:r>
            <w:r w:rsidRPr="00C114C9">
              <w:t>examen des pièces justificatives ou vérifie, sous sa responsabilité, que cet examen a été effectué.</w:t>
            </w:r>
          </w:p>
          <w:p w14:paraId="43B53450" w14:textId="2A9D8058" w:rsidR="004A2404" w:rsidRPr="00C114C9" w:rsidRDefault="00DE0005" w:rsidP="00ED4F09">
            <w:pPr>
              <w:pStyle w:val="ListParagraph"/>
              <w:numPr>
                <w:ilvl w:val="0"/>
                <w:numId w:val="64"/>
              </w:numPr>
            </w:pPr>
            <w:r w:rsidRPr="00C114C9">
              <w:t>Les rémunérations et indemnités sont liquidées conformément à des états collectifs établis par les soins du service chargé du personnel, sauf dans les cas où une liquidation individuelle est nécessaire.</w:t>
            </w:r>
          </w:p>
          <w:p w14:paraId="19A4B463" w14:textId="28C196E7" w:rsidR="004A2404" w:rsidRPr="00834834" w:rsidRDefault="004A2404" w:rsidP="00C114C9">
            <w:pPr>
              <w:pStyle w:val="Subtitle"/>
              <w:rPr>
                <w:lang w:val="fr-BE"/>
              </w:rPr>
            </w:pPr>
            <w:r w:rsidRPr="00834834">
              <w:rPr>
                <w:lang w:val="fr-BE"/>
              </w:rPr>
              <w:t>Article</w:t>
            </w:r>
            <w:r w:rsidR="00D0034C" w:rsidRPr="00834834">
              <w:rPr>
                <w:lang w:val="fr-BE"/>
              </w:rPr>
              <w:t> </w:t>
            </w:r>
            <w:r w:rsidRPr="00834834">
              <w:rPr>
                <w:lang w:val="fr-BE"/>
              </w:rPr>
              <w:t>57</w:t>
            </w:r>
          </w:p>
          <w:p w14:paraId="5EA8ECD7" w14:textId="77777777" w:rsidR="00661E05" w:rsidRPr="00834834" w:rsidRDefault="00661E05" w:rsidP="00C114C9">
            <w:pPr>
              <w:pStyle w:val="Subtitle"/>
              <w:rPr>
                <w:lang w:val="fr-BE"/>
              </w:rPr>
            </w:pPr>
            <w:r w:rsidRPr="00834834">
              <w:rPr>
                <w:lang w:val="fr-BE"/>
              </w:rPr>
              <w:t>Ordonnancement des dépenses</w:t>
            </w:r>
          </w:p>
          <w:p w14:paraId="1192DAC3" w14:textId="563F48D4" w:rsidR="004A2404" w:rsidRPr="00834834" w:rsidRDefault="004A2404" w:rsidP="00ED4F09">
            <w:pPr>
              <w:pStyle w:val="ListParagraph"/>
              <w:numPr>
                <w:ilvl w:val="0"/>
                <w:numId w:val="66"/>
              </w:numPr>
              <w:rPr>
                <w:bCs/>
              </w:rPr>
            </w:pPr>
            <w:r w:rsidRPr="00834834">
              <w:t>L</w:t>
            </w:r>
            <w:r w:rsidR="00D0034C" w:rsidRPr="00834834">
              <w:t>’</w:t>
            </w:r>
            <w:r w:rsidRPr="00834834">
              <w:t>ordonnancement des dépenses est l</w:t>
            </w:r>
            <w:r w:rsidR="00D0034C" w:rsidRPr="00834834">
              <w:t>’</w:t>
            </w:r>
            <w:r w:rsidRPr="00834834">
              <w:t>acte par lequel l</w:t>
            </w:r>
            <w:r w:rsidR="00D0034C" w:rsidRPr="00834834">
              <w:t>’</w:t>
            </w:r>
            <w:r w:rsidRPr="00834834">
              <w:t>ordonnateur responsable, après s</w:t>
            </w:r>
            <w:r w:rsidR="00D0034C" w:rsidRPr="00834834">
              <w:t>’</w:t>
            </w:r>
            <w:r w:rsidRPr="00834834">
              <w:t>être assuré de la disponibilité des crédits, donne au comptable, par l</w:t>
            </w:r>
            <w:r w:rsidR="00D0034C" w:rsidRPr="00834834">
              <w:t>’</w:t>
            </w:r>
            <w:r w:rsidRPr="00834834">
              <w:t>émission d</w:t>
            </w:r>
            <w:r w:rsidR="00D0034C" w:rsidRPr="00834834">
              <w:t>’</w:t>
            </w:r>
            <w:r w:rsidRPr="00834834">
              <w:t>un ordre de paiement, l</w:t>
            </w:r>
            <w:r w:rsidR="00D0034C" w:rsidRPr="00834834">
              <w:t>’</w:t>
            </w:r>
            <w:r w:rsidRPr="00834834">
              <w:t>ordre de payer une dépense dont l</w:t>
            </w:r>
            <w:r w:rsidR="00D0034C" w:rsidRPr="00834834">
              <w:t>’</w:t>
            </w:r>
            <w:r w:rsidRPr="00834834">
              <w:t>ordonnateur responsable a effectué la liquidation.</w:t>
            </w:r>
          </w:p>
          <w:p w14:paraId="49DF1879" w14:textId="7875E5D4" w:rsidR="004A2404" w:rsidRPr="00942F8F" w:rsidRDefault="00DE0005" w:rsidP="00ED4F09">
            <w:pPr>
              <w:pStyle w:val="ListParagraph"/>
              <w:numPr>
                <w:ilvl w:val="0"/>
                <w:numId w:val="66"/>
              </w:numPr>
              <w:rPr>
                <w:bCs/>
                <w:strike/>
              </w:rPr>
            </w:pPr>
            <w:r w:rsidRPr="00942F8F">
              <w:t>Lors de l</w:t>
            </w:r>
            <w:r w:rsidR="00D0034C" w:rsidRPr="00942F8F">
              <w:t>’</w:t>
            </w:r>
            <w:r w:rsidRPr="00942F8F">
              <w:t>établissement des ordres de paiement, l</w:t>
            </w:r>
            <w:r w:rsidR="00D0034C" w:rsidRPr="00942F8F">
              <w:t>’</w:t>
            </w:r>
            <w:r w:rsidRPr="00942F8F">
              <w:t>ordonnateur responsable veille à :</w:t>
            </w:r>
          </w:p>
          <w:p w14:paraId="0EBAA530" w14:textId="2B25EDC6" w:rsidR="004A2404" w:rsidRPr="00834834" w:rsidRDefault="004A2404" w:rsidP="00ED4F09">
            <w:pPr>
              <w:pStyle w:val="numbering2"/>
              <w:numPr>
                <w:ilvl w:val="0"/>
                <w:numId w:val="67"/>
              </w:numPr>
              <w:ind w:left="2153"/>
            </w:pPr>
            <w:proofErr w:type="gramStart"/>
            <w:r w:rsidRPr="00834834">
              <w:t>la</w:t>
            </w:r>
            <w:proofErr w:type="gramEnd"/>
            <w:r w:rsidRPr="00834834">
              <w:t xml:space="preserve"> régularité de l</w:t>
            </w:r>
            <w:r w:rsidR="00D0034C" w:rsidRPr="00834834">
              <w:t>’</w:t>
            </w:r>
            <w:r w:rsidRPr="00834834">
              <w:t>émission de l</w:t>
            </w:r>
            <w:r w:rsidR="00D0034C" w:rsidRPr="00834834">
              <w:t>’</w:t>
            </w:r>
            <w:r w:rsidRPr="00834834">
              <w:t>ordre de paiement ;</w:t>
            </w:r>
          </w:p>
          <w:p w14:paraId="295FE400" w14:textId="66E4DC5C" w:rsidR="004A2404" w:rsidRPr="00834834" w:rsidRDefault="004A2404" w:rsidP="00ED4F09">
            <w:pPr>
              <w:pStyle w:val="numbering2"/>
              <w:numPr>
                <w:ilvl w:val="0"/>
                <w:numId w:val="67"/>
              </w:numPr>
              <w:ind w:left="2153"/>
            </w:pPr>
            <w:proofErr w:type="gramStart"/>
            <w:r w:rsidRPr="00834834">
              <w:t>la</w:t>
            </w:r>
            <w:proofErr w:type="gramEnd"/>
            <w:r w:rsidRPr="00834834">
              <w:t xml:space="preserve"> concordance de l</w:t>
            </w:r>
            <w:r w:rsidR="00D0034C" w:rsidRPr="00834834">
              <w:t>’</w:t>
            </w:r>
            <w:r w:rsidRPr="00834834">
              <w:t>ordre de paiement avec l</w:t>
            </w:r>
            <w:r w:rsidR="00D0034C" w:rsidRPr="00834834">
              <w:t>’</w:t>
            </w:r>
            <w:r w:rsidRPr="00834834">
              <w:t>engagement de la dépense et l</w:t>
            </w:r>
            <w:r w:rsidR="00D0034C" w:rsidRPr="00834834">
              <w:t>’</w:t>
            </w:r>
            <w:r w:rsidRPr="00834834">
              <w:t>exactitude de son montant ;</w:t>
            </w:r>
          </w:p>
          <w:p w14:paraId="5EBAAB5D" w14:textId="74E691CE" w:rsidR="004A2404" w:rsidRPr="00834834" w:rsidRDefault="004A2404" w:rsidP="00ED4F09">
            <w:pPr>
              <w:pStyle w:val="numbering2"/>
              <w:numPr>
                <w:ilvl w:val="0"/>
                <w:numId w:val="67"/>
              </w:numPr>
              <w:ind w:left="2153"/>
            </w:pPr>
            <w:proofErr w:type="gramStart"/>
            <w:r w:rsidRPr="00834834">
              <w:t>l</w:t>
            </w:r>
            <w:r w:rsidR="00D0034C" w:rsidRPr="00834834">
              <w:t>’</w:t>
            </w:r>
            <w:r w:rsidRPr="00834834">
              <w:t>exactitude</w:t>
            </w:r>
            <w:proofErr w:type="gramEnd"/>
            <w:r w:rsidRPr="00834834">
              <w:t xml:space="preserve"> de l</w:t>
            </w:r>
            <w:r w:rsidR="00D0034C" w:rsidRPr="00834834">
              <w:t>’</w:t>
            </w:r>
            <w:r w:rsidRPr="00834834">
              <w:t>imputation budgétaire ;</w:t>
            </w:r>
          </w:p>
          <w:p w14:paraId="3A4D070C" w14:textId="4C748A9D" w:rsidR="004A2404" w:rsidRPr="00834834" w:rsidRDefault="004A2404" w:rsidP="00ED4F09">
            <w:pPr>
              <w:pStyle w:val="numbering2"/>
              <w:numPr>
                <w:ilvl w:val="0"/>
                <w:numId w:val="67"/>
              </w:numPr>
              <w:ind w:left="2153"/>
            </w:pPr>
            <w:proofErr w:type="gramStart"/>
            <w:r w:rsidRPr="00834834">
              <w:t>la</w:t>
            </w:r>
            <w:proofErr w:type="gramEnd"/>
            <w:r w:rsidRPr="00834834">
              <w:t xml:space="preserve"> disponibilité des crédits ;</w:t>
            </w:r>
          </w:p>
          <w:p w14:paraId="38141F4B" w14:textId="2DF68FC3" w:rsidR="004A2404" w:rsidRPr="00834834" w:rsidRDefault="004A2404" w:rsidP="00ED4F09">
            <w:pPr>
              <w:pStyle w:val="numbering2"/>
              <w:numPr>
                <w:ilvl w:val="0"/>
                <w:numId w:val="67"/>
              </w:numPr>
              <w:ind w:left="2153"/>
            </w:pPr>
            <w:proofErr w:type="gramStart"/>
            <w:r w:rsidRPr="00834834">
              <w:t>la</w:t>
            </w:r>
            <w:proofErr w:type="gramEnd"/>
            <w:r w:rsidRPr="00834834">
              <w:t xml:space="preserve"> régularité des pièces justificatives ;</w:t>
            </w:r>
          </w:p>
          <w:p w14:paraId="7701421B" w14:textId="66F606CD" w:rsidR="004A2404" w:rsidRPr="00834834" w:rsidRDefault="004A2404" w:rsidP="00ED4F09">
            <w:pPr>
              <w:pStyle w:val="numbering2"/>
              <w:numPr>
                <w:ilvl w:val="0"/>
                <w:numId w:val="67"/>
              </w:numPr>
              <w:ind w:left="2153"/>
            </w:pPr>
            <w:proofErr w:type="gramStart"/>
            <w:r w:rsidRPr="00834834">
              <w:t>l</w:t>
            </w:r>
            <w:r w:rsidR="00D0034C" w:rsidRPr="00834834">
              <w:t>’</w:t>
            </w:r>
            <w:r w:rsidRPr="00834834">
              <w:t>exactitude</w:t>
            </w:r>
            <w:proofErr w:type="gramEnd"/>
            <w:r w:rsidRPr="00834834">
              <w:t xml:space="preserve"> de la désignation du bénéficiaire.</w:t>
            </w:r>
          </w:p>
          <w:p w14:paraId="0651F90D" w14:textId="7D5B3E7D" w:rsidR="004A2404" w:rsidRPr="00834834" w:rsidRDefault="00DE0005" w:rsidP="00ED4F09">
            <w:pPr>
              <w:pStyle w:val="ListParagraph"/>
              <w:numPr>
                <w:ilvl w:val="0"/>
                <w:numId w:val="68"/>
              </w:numPr>
            </w:pPr>
            <w:r w:rsidRPr="00834834">
              <w:t>L</w:t>
            </w:r>
            <w:r w:rsidR="00D0034C" w:rsidRPr="00834834">
              <w:t>’</w:t>
            </w:r>
            <w:r w:rsidRPr="00834834">
              <w:t>ordre de paiement doit mentionner :</w:t>
            </w:r>
          </w:p>
          <w:p w14:paraId="11CC294A" w14:textId="50262780" w:rsidR="004A2404" w:rsidRPr="00834834" w:rsidRDefault="004A2404" w:rsidP="00ED4F09">
            <w:pPr>
              <w:pStyle w:val="numbering2"/>
              <w:numPr>
                <w:ilvl w:val="2"/>
                <w:numId w:val="69"/>
              </w:numPr>
            </w:pPr>
            <w:proofErr w:type="gramStart"/>
            <w:r w:rsidRPr="00834834">
              <w:t>l</w:t>
            </w:r>
            <w:r w:rsidR="00D0034C" w:rsidRPr="00834834">
              <w:t>’</w:t>
            </w:r>
            <w:r w:rsidRPr="00834834">
              <w:t>exercice</w:t>
            </w:r>
            <w:proofErr w:type="gramEnd"/>
            <w:r w:rsidRPr="00834834">
              <w:t xml:space="preserve"> d</w:t>
            </w:r>
            <w:r w:rsidR="00D0034C" w:rsidRPr="00834834">
              <w:t>’</w:t>
            </w:r>
            <w:r w:rsidRPr="00834834">
              <w:t>imputation ;</w:t>
            </w:r>
          </w:p>
          <w:p w14:paraId="6058ACE2" w14:textId="62C63835" w:rsidR="004A2404" w:rsidRPr="00834834" w:rsidRDefault="004A2404" w:rsidP="00ED4F09">
            <w:pPr>
              <w:pStyle w:val="numbering2"/>
              <w:numPr>
                <w:ilvl w:val="2"/>
                <w:numId w:val="69"/>
              </w:numPr>
            </w:pPr>
            <w:proofErr w:type="gramStart"/>
            <w:r w:rsidRPr="00834834">
              <w:lastRenderedPageBreak/>
              <w:t>l</w:t>
            </w:r>
            <w:r w:rsidR="00D0034C" w:rsidRPr="00834834">
              <w:t>’</w:t>
            </w:r>
            <w:r w:rsidRPr="00834834">
              <w:t>article</w:t>
            </w:r>
            <w:proofErr w:type="gramEnd"/>
            <w:r w:rsidRPr="00834834">
              <w:t xml:space="preserve"> et le poste du budget et, éventuellement, toute autre subdivision nécessaire ;</w:t>
            </w:r>
          </w:p>
          <w:p w14:paraId="44ED525D" w14:textId="696739DE" w:rsidR="004A2404" w:rsidRPr="00834834" w:rsidRDefault="004A2404" w:rsidP="00ED4F09">
            <w:pPr>
              <w:pStyle w:val="numbering2"/>
              <w:numPr>
                <w:ilvl w:val="2"/>
                <w:numId w:val="69"/>
              </w:numPr>
            </w:pPr>
            <w:proofErr w:type="gramStart"/>
            <w:r w:rsidRPr="00834834">
              <w:t>le</w:t>
            </w:r>
            <w:proofErr w:type="gramEnd"/>
            <w:r w:rsidRPr="00834834">
              <w:t xml:space="preserve"> montant à payer, exprimé en euros ;</w:t>
            </w:r>
          </w:p>
          <w:p w14:paraId="5F7D81B7" w14:textId="3823FA14" w:rsidR="004A2404" w:rsidRPr="00834834" w:rsidRDefault="004A2404" w:rsidP="00ED4F09">
            <w:pPr>
              <w:pStyle w:val="numbering2"/>
              <w:numPr>
                <w:ilvl w:val="2"/>
                <w:numId w:val="69"/>
              </w:numPr>
            </w:pPr>
            <w:proofErr w:type="gramStart"/>
            <w:r w:rsidRPr="00834834">
              <w:t>le</w:t>
            </w:r>
            <w:proofErr w:type="gramEnd"/>
            <w:r w:rsidRPr="00834834">
              <w:t xml:space="preserve"> nom, l</w:t>
            </w:r>
            <w:r w:rsidR="00D0034C" w:rsidRPr="00834834">
              <w:t>’</w:t>
            </w:r>
            <w:r w:rsidRPr="00834834">
              <w:t>adresse et les références bancaires du bénéficiaire ;</w:t>
            </w:r>
          </w:p>
          <w:p w14:paraId="6CE631B4" w14:textId="573D917A" w:rsidR="004A2404" w:rsidRPr="00834834" w:rsidRDefault="004A2404" w:rsidP="00ED4F09">
            <w:pPr>
              <w:pStyle w:val="numbering2"/>
              <w:numPr>
                <w:ilvl w:val="2"/>
                <w:numId w:val="69"/>
              </w:numPr>
            </w:pPr>
            <w:proofErr w:type="gramStart"/>
            <w:r w:rsidRPr="00834834">
              <w:t>l</w:t>
            </w:r>
            <w:r w:rsidR="00D0034C" w:rsidRPr="00834834">
              <w:t>’</w:t>
            </w:r>
            <w:r w:rsidRPr="00834834">
              <w:t>objet</w:t>
            </w:r>
            <w:proofErr w:type="gramEnd"/>
            <w:r w:rsidRPr="00834834">
              <w:t xml:space="preserve"> de la dépense ;</w:t>
            </w:r>
          </w:p>
          <w:p w14:paraId="560DB9A1" w14:textId="7002E8B5" w:rsidR="004A2404" w:rsidRPr="00834834" w:rsidRDefault="004A2404" w:rsidP="00ED4F09">
            <w:pPr>
              <w:pStyle w:val="numbering2"/>
              <w:numPr>
                <w:ilvl w:val="2"/>
                <w:numId w:val="69"/>
              </w:numPr>
            </w:pPr>
            <w:proofErr w:type="gramStart"/>
            <w:r w:rsidRPr="00834834">
              <w:t>dans</w:t>
            </w:r>
            <w:proofErr w:type="gramEnd"/>
            <w:r w:rsidRPr="00834834">
              <w:t xml:space="preserve"> la mesure du possible, le mode de paiement.</w:t>
            </w:r>
          </w:p>
          <w:p w14:paraId="67973D69" w14:textId="04D8B640" w:rsidR="004A2404" w:rsidRPr="00834834" w:rsidRDefault="004A2404" w:rsidP="00942F8F">
            <w:pPr>
              <w:rPr>
                <w:lang w:val="fr-BE"/>
              </w:rPr>
            </w:pPr>
            <w:r w:rsidRPr="00834834">
              <w:rPr>
                <w:lang w:val="fr-BE"/>
              </w:rPr>
              <w:t>L</w:t>
            </w:r>
            <w:r w:rsidR="00D0034C" w:rsidRPr="00834834">
              <w:rPr>
                <w:lang w:val="fr-BE"/>
              </w:rPr>
              <w:t>’</w:t>
            </w:r>
            <w:r w:rsidRPr="00834834">
              <w:rPr>
                <w:lang w:val="fr-BE"/>
              </w:rPr>
              <w:t>ordre de paiement est daté et signé par l</w:t>
            </w:r>
            <w:r w:rsidR="00D0034C" w:rsidRPr="00834834">
              <w:rPr>
                <w:lang w:val="fr-BE"/>
              </w:rPr>
              <w:t>’</w:t>
            </w:r>
            <w:r w:rsidRPr="00834834">
              <w:rPr>
                <w:lang w:val="fr-BE"/>
              </w:rPr>
              <w:t>ordonnateur responsable puis transmis au comptable.</w:t>
            </w:r>
          </w:p>
          <w:p w14:paraId="301BE2E0" w14:textId="78C367B2" w:rsidR="004A2404" w:rsidRPr="00834834" w:rsidRDefault="00F93153" w:rsidP="00ED4F09">
            <w:pPr>
              <w:pStyle w:val="ListParagraph"/>
              <w:numPr>
                <w:ilvl w:val="0"/>
                <w:numId w:val="70"/>
              </w:numPr>
            </w:pPr>
            <w:r w:rsidRPr="00834834">
              <w:t>L</w:t>
            </w:r>
            <w:r w:rsidR="00D0034C" w:rsidRPr="00834834">
              <w:t>’</w:t>
            </w:r>
            <w:r w:rsidRPr="00834834">
              <w:t>ordre de paiement est accompagné des pièces justificatives originales. Ces pièces sont revêtues ou accompagnées d</w:t>
            </w:r>
            <w:r w:rsidR="00D0034C" w:rsidRPr="00834834">
              <w:t>’</w:t>
            </w:r>
            <w:r w:rsidRPr="00834834">
              <w:t>une attestation certifiant l</w:t>
            </w:r>
            <w:r w:rsidR="00D0034C" w:rsidRPr="00834834">
              <w:t>’</w:t>
            </w:r>
            <w:r w:rsidRPr="00834834">
              <w:t>exactitude des sommes à payer, la réception des fournitures et l</w:t>
            </w:r>
            <w:r w:rsidR="00D0034C" w:rsidRPr="00834834">
              <w:t>’</w:t>
            </w:r>
            <w:r w:rsidRPr="00834834">
              <w:t>exécution du service ainsi que, le cas échéant, l</w:t>
            </w:r>
            <w:r w:rsidR="00D0034C" w:rsidRPr="00834834">
              <w:t>’</w:t>
            </w:r>
            <w:r w:rsidRPr="00834834">
              <w:t>inscription des biens aux inventaires visés à l</w:t>
            </w:r>
            <w:r w:rsidR="00D0034C" w:rsidRPr="00834834">
              <w:t>’</w:t>
            </w:r>
            <w:r w:rsidRPr="00834834">
              <w:t>article 82.</w:t>
            </w:r>
          </w:p>
          <w:p w14:paraId="38DB7D46" w14:textId="15F0649A" w:rsidR="004A2404" w:rsidRPr="00834834" w:rsidRDefault="003167A6" w:rsidP="00ED4F09">
            <w:pPr>
              <w:pStyle w:val="ListParagraph"/>
              <w:numPr>
                <w:ilvl w:val="0"/>
                <w:numId w:val="70"/>
              </w:numPr>
            </w:pPr>
            <w:r w:rsidRPr="00834834">
              <w:t>5.</w:t>
            </w:r>
            <w:r w:rsidR="004A2404" w:rsidRPr="00834834">
              <w:t>L</w:t>
            </w:r>
            <w:r w:rsidR="00D0034C" w:rsidRPr="00834834">
              <w:t>’</w:t>
            </w:r>
            <w:r w:rsidR="004A2404" w:rsidRPr="00834834">
              <w:t>ordre de paiement rappelle les numéros des visas d</w:t>
            </w:r>
            <w:r w:rsidR="00D0034C" w:rsidRPr="00834834">
              <w:t>’</w:t>
            </w:r>
            <w:r w:rsidR="004A2404" w:rsidRPr="00834834">
              <w:t>engagement correspondants. Les copies des pièces justificatives, certifiées conformes aux originaux par l</w:t>
            </w:r>
            <w:r w:rsidR="00D0034C" w:rsidRPr="00834834">
              <w:t>’</w:t>
            </w:r>
            <w:r w:rsidR="004A2404" w:rsidRPr="00834834">
              <w:rPr>
                <w:bCs/>
              </w:rPr>
              <w:t>ordonnateur responsable</w:t>
            </w:r>
            <w:r w:rsidR="004A2404" w:rsidRPr="00834834">
              <w:t>, peuvent, le cas échéant, tenir lieu d</w:t>
            </w:r>
            <w:r w:rsidR="00D0034C" w:rsidRPr="00834834">
              <w:t>’</w:t>
            </w:r>
            <w:r w:rsidR="004A2404" w:rsidRPr="00834834">
              <w:t>originaux.</w:t>
            </w:r>
          </w:p>
          <w:p w14:paraId="5761AE5C" w14:textId="128C024C" w:rsidR="00223BD0" w:rsidRPr="00834834" w:rsidRDefault="00223BD0" w:rsidP="007673A5">
            <w:pPr>
              <w:pStyle w:val="Subtitle"/>
              <w:rPr>
                <w:lang w:val="fr-BE"/>
              </w:rPr>
            </w:pPr>
            <w:r w:rsidRPr="00834834">
              <w:rPr>
                <w:lang w:val="fr-BE"/>
              </w:rPr>
              <w:t>Article</w:t>
            </w:r>
            <w:r w:rsidR="00D0034C" w:rsidRPr="00834834">
              <w:rPr>
                <w:lang w:val="fr-BE"/>
              </w:rPr>
              <w:t> </w:t>
            </w:r>
            <w:r w:rsidRPr="00834834">
              <w:rPr>
                <w:lang w:val="fr-BE"/>
              </w:rPr>
              <w:t>58</w:t>
            </w:r>
          </w:p>
          <w:p w14:paraId="596AE7A5" w14:textId="77777777" w:rsidR="004A2404" w:rsidRPr="00834834" w:rsidRDefault="00223BD0" w:rsidP="007673A5">
            <w:pPr>
              <w:pStyle w:val="Subtitle"/>
              <w:rPr>
                <w:lang w:val="fr-BE"/>
              </w:rPr>
            </w:pPr>
            <w:r w:rsidRPr="00834834">
              <w:rPr>
                <w:lang w:val="fr-BE"/>
              </w:rPr>
              <w:t>Pièces justificatives</w:t>
            </w:r>
          </w:p>
          <w:p w14:paraId="7545982E" w14:textId="36860B48" w:rsidR="00E9741F" w:rsidRPr="00834834" w:rsidRDefault="00E9741F" w:rsidP="00700BC3">
            <w:pPr>
              <w:rPr>
                <w:lang w:val="fr-BE"/>
              </w:rPr>
            </w:pPr>
            <w:r w:rsidRPr="00834834">
              <w:rPr>
                <w:lang w:val="fr-BE"/>
              </w:rPr>
              <w:t>Les dispositions ci-après concernant les pièces justificatives visées à l</w:t>
            </w:r>
            <w:r w:rsidR="00D0034C" w:rsidRPr="00834834">
              <w:rPr>
                <w:lang w:val="fr-BE"/>
              </w:rPr>
              <w:t>’</w:t>
            </w:r>
            <w:r w:rsidRPr="00834834">
              <w:rPr>
                <w:lang w:val="fr-BE"/>
              </w:rPr>
              <w:t>article 56, paragraphe 2, et à l</w:t>
            </w:r>
            <w:r w:rsidR="00D0034C" w:rsidRPr="00834834">
              <w:rPr>
                <w:lang w:val="fr-BE"/>
              </w:rPr>
              <w:t>’</w:t>
            </w:r>
            <w:r w:rsidRPr="00834834">
              <w:rPr>
                <w:lang w:val="fr-BE"/>
              </w:rPr>
              <w:t>article 57, paragraphe 4, sont d</w:t>
            </w:r>
            <w:r w:rsidR="00D0034C" w:rsidRPr="00834834">
              <w:rPr>
                <w:lang w:val="fr-BE"/>
              </w:rPr>
              <w:t>’</w:t>
            </w:r>
            <w:r w:rsidRPr="00834834">
              <w:rPr>
                <w:lang w:val="fr-BE"/>
              </w:rPr>
              <w:t>application :</w:t>
            </w:r>
          </w:p>
          <w:p w14:paraId="09EC047E" w14:textId="32B2EA01" w:rsidR="00223BD0" w:rsidRPr="00700BC3" w:rsidRDefault="00223BD0" w:rsidP="00ED4F09">
            <w:pPr>
              <w:pStyle w:val="ListParagraph"/>
              <w:numPr>
                <w:ilvl w:val="0"/>
                <w:numId w:val="71"/>
              </w:numPr>
            </w:pPr>
            <w:r w:rsidRPr="00700BC3">
              <w:t>En ce qui concerne les fournitures en général, est considérée comme pièce justificative valable :</w:t>
            </w:r>
          </w:p>
          <w:p w14:paraId="3E74F8EA" w14:textId="2E1E04A3" w:rsidR="00223BD0" w:rsidRPr="00834834" w:rsidRDefault="00223BD0" w:rsidP="00ED4F09">
            <w:pPr>
              <w:pStyle w:val="numbering2"/>
              <w:numPr>
                <w:ilvl w:val="2"/>
                <w:numId w:val="67"/>
              </w:numPr>
              <w:ind w:left="2153"/>
            </w:pPr>
            <w:proofErr w:type="gramStart"/>
            <w:r w:rsidRPr="00834834">
              <w:t>la</w:t>
            </w:r>
            <w:proofErr w:type="gramEnd"/>
            <w:r w:rsidRPr="00834834">
              <w:t xml:space="preserve"> facture établie par le fournisseur, accompagnée, le cas échéant, d</w:t>
            </w:r>
            <w:r w:rsidR="00D0034C" w:rsidRPr="00834834">
              <w:t>’</w:t>
            </w:r>
            <w:r w:rsidRPr="00834834">
              <w:t>un des exemplaires de l</w:t>
            </w:r>
            <w:r w:rsidR="00D0034C" w:rsidRPr="00834834">
              <w:t>’</w:t>
            </w:r>
            <w:r w:rsidRPr="00834834">
              <w:t>acte dont résulte l</w:t>
            </w:r>
            <w:r w:rsidR="00D0034C" w:rsidRPr="00834834">
              <w:t>’</w:t>
            </w:r>
            <w:r w:rsidRPr="00834834">
              <w:t>obligation de l</w:t>
            </w:r>
            <w:r w:rsidR="00D0034C" w:rsidRPr="00834834">
              <w:t>’</w:t>
            </w:r>
            <w:r w:rsidRPr="00834834">
              <w:t>École ou du Bureau du Secrétaire général.</w:t>
            </w:r>
          </w:p>
          <w:p w14:paraId="287E0A1E" w14:textId="3B4CF627" w:rsidR="00223BD0" w:rsidRPr="00834834" w:rsidRDefault="00223BD0" w:rsidP="00700BC3">
            <w:pPr>
              <w:rPr>
                <w:lang w:val="fr-BE"/>
              </w:rPr>
            </w:pPr>
            <w:r w:rsidRPr="00834834">
              <w:rPr>
                <w:lang w:val="fr-BE"/>
              </w:rPr>
              <w:t>Dans tous les cas, le document établi par le fournisseur indique :</w:t>
            </w:r>
          </w:p>
          <w:p w14:paraId="0656E3F7" w14:textId="2F3C3E82" w:rsidR="00223BD0" w:rsidRPr="00834834" w:rsidRDefault="00223BD0" w:rsidP="00ED4F09">
            <w:pPr>
              <w:pStyle w:val="numbering2"/>
              <w:numPr>
                <w:ilvl w:val="2"/>
                <w:numId w:val="72"/>
              </w:numPr>
            </w:pPr>
            <w:proofErr w:type="gramStart"/>
            <w:r w:rsidRPr="00834834">
              <w:t>la</w:t>
            </w:r>
            <w:proofErr w:type="gramEnd"/>
            <w:r w:rsidRPr="00834834">
              <w:t xml:space="preserve"> nature et la quantité des fournitures ou, éventuellement, la description des services rendus s</w:t>
            </w:r>
            <w:r w:rsidR="00D0034C" w:rsidRPr="00834834">
              <w:t>’</w:t>
            </w:r>
            <w:r w:rsidRPr="00834834">
              <w:t>y rapportant ;</w:t>
            </w:r>
          </w:p>
          <w:p w14:paraId="4E741DA6" w14:textId="3536D9A5" w:rsidR="00223BD0" w:rsidRPr="00834834" w:rsidRDefault="00223BD0" w:rsidP="00ED4F09">
            <w:pPr>
              <w:pStyle w:val="numbering2"/>
              <w:numPr>
                <w:ilvl w:val="2"/>
                <w:numId w:val="72"/>
              </w:numPr>
            </w:pPr>
            <w:proofErr w:type="gramStart"/>
            <w:r w:rsidRPr="00834834">
              <w:t>le</w:t>
            </w:r>
            <w:proofErr w:type="gramEnd"/>
            <w:r w:rsidRPr="00834834">
              <w:t xml:space="preserve"> prix unitaire et le prix total ;</w:t>
            </w:r>
          </w:p>
          <w:p w14:paraId="57A23581" w14:textId="14486650" w:rsidR="00223BD0" w:rsidRPr="00834834" w:rsidRDefault="00223BD0" w:rsidP="00ED4F09">
            <w:pPr>
              <w:pStyle w:val="numbering2"/>
              <w:numPr>
                <w:ilvl w:val="2"/>
                <w:numId w:val="72"/>
              </w:numPr>
            </w:pPr>
            <w:proofErr w:type="gramStart"/>
            <w:r w:rsidRPr="00834834">
              <w:t>la</w:t>
            </w:r>
            <w:proofErr w:type="gramEnd"/>
            <w:r w:rsidRPr="00834834">
              <w:t xml:space="preserve"> mention de l</w:t>
            </w:r>
            <w:r w:rsidR="00D0034C" w:rsidRPr="00834834">
              <w:t>’</w:t>
            </w:r>
            <w:r w:rsidRPr="00834834">
              <w:t>exemption de taxes et impôts ; le cas échéant, le montant des taxes, impôts et droits de douane afférents à la fourniture et inclus dans le prix.</w:t>
            </w:r>
          </w:p>
          <w:p w14:paraId="04EB8BA8" w14:textId="2A03C24F" w:rsidR="00223BD0" w:rsidRPr="00834834" w:rsidRDefault="00223BD0" w:rsidP="00700BC3">
            <w:pPr>
              <w:rPr>
                <w:lang w:val="fr-BE"/>
              </w:rPr>
            </w:pPr>
            <w:r w:rsidRPr="00834834">
              <w:rPr>
                <w:lang w:val="fr-BE"/>
              </w:rPr>
              <w:t>Sur ce document ou un document annexe figure la mention «</w:t>
            </w:r>
            <w:r w:rsidR="00D0034C" w:rsidRPr="00834834">
              <w:rPr>
                <w:lang w:val="fr-BE"/>
              </w:rPr>
              <w:t> </w:t>
            </w:r>
            <w:r w:rsidRPr="00834834">
              <w:rPr>
                <w:lang w:val="fr-BE"/>
              </w:rPr>
              <w:t>Conforme aux faits</w:t>
            </w:r>
            <w:r w:rsidR="00D0034C" w:rsidRPr="00834834">
              <w:rPr>
                <w:lang w:val="fr-BE"/>
              </w:rPr>
              <w:t> </w:t>
            </w:r>
            <w:r w:rsidRPr="00834834">
              <w:rPr>
                <w:lang w:val="fr-BE"/>
              </w:rPr>
              <w:t>» apposée par l</w:t>
            </w:r>
            <w:r w:rsidR="00D0034C" w:rsidRPr="00834834">
              <w:rPr>
                <w:lang w:val="fr-BE"/>
              </w:rPr>
              <w:t>’</w:t>
            </w:r>
            <w:r w:rsidRPr="00834834">
              <w:rPr>
                <w:lang w:val="fr-BE"/>
              </w:rPr>
              <w:t>ordonnateur responsable ou l</w:t>
            </w:r>
            <w:r w:rsidR="00D0034C" w:rsidRPr="00834834">
              <w:rPr>
                <w:lang w:val="fr-BE"/>
              </w:rPr>
              <w:t>’</w:t>
            </w:r>
            <w:r w:rsidRPr="00834834">
              <w:rPr>
                <w:lang w:val="fr-BE"/>
              </w:rPr>
              <w:t>agent habilité par lui, constatant :</w:t>
            </w:r>
          </w:p>
          <w:p w14:paraId="5B594DD3" w14:textId="690A5E7B" w:rsidR="00223BD0" w:rsidRPr="00834834" w:rsidRDefault="00223BD0" w:rsidP="00ED4F09">
            <w:pPr>
              <w:pStyle w:val="numbering2"/>
              <w:numPr>
                <w:ilvl w:val="2"/>
                <w:numId w:val="73"/>
              </w:numPr>
            </w:pPr>
            <w:proofErr w:type="gramStart"/>
            <w:r w:rsidRPr="00834834">
              <w:t>la</w:t>
            </w:r>
            <w:proofErr w:type="gramEnd"/>
            <w:r w:rsidRPr="00834834">
              <w:t xml:space="preserve"> bonne et due réception de la fourniture ainsi que la date et le lieu de celle-ci ;</w:t>
            </w:r>
          </w:p>
          <w:p w14:paraId="0C0B6E6C" w14:textId="4DD795B6" w:rsidR="00223BD0" w:rsidRPr="00834834" w:rsidRDefault="00223BD0" w:rsidP="00ED4F09">
            <w:pPr>
              <w:pStyle w:val="numbering2"/>
              <w:numPr>
                <w:ilvl w:val="2"/>
                <w:numId w:val="73"/>
              </w:numPr>
            </w:pPr>
            <w:proofErr w:type="gramStart"/>
            <w:r w:rsidRPr="00834834">
              <w:t>la</w:t>
            </w:r>
            <w:proofErr w:type="gramEnd"/>
            <w:r w:rsidRPr="00834834">
              <w:t xml:space="preserve"> prise en charge à l</w:t>
            </w:r>
            <w:r w:rsidR="00D0034C" w:rsidRPr="00834834">
              <w:t>’</w:t>
            </w:r>
            <w:r w:rsidRPr="00834834">
              <w:t>inventaire chaque fois que l</w:t>
            </w:r>
            <w:r w:rsidR="00D0034C" w:rsidRPr="00834834">
              <w:t>’</w:t>
            </w:r>
            <w:r w:rsidRPr="00834834">
              <w:t>inscription de la fourniture à l</w:t>
            </w:r>
            <w:r w:rsidR="00D0034C" w:rsidRPr="00834834">
              <w:t>’</w:t>
            </w:r>
            <w:r w:rsidRPr="00834834">
              <w:t>inventaire est exigée ;</w:t>
            </w:r>
          </w:p>
          <w:p w14:paraId="2D97E5C0" w14:textId="629738B6" w:rsidR="00223BD0" w:rsidRPr="00834834" w:rsidRDefault="00223BD0" w:rsidP="00ED4F09">
            <w:pPr>
              <w:pStyle w:val="numbering2"/>
              <w:numPr>
                <w:ilvl w:val="2"/>
                <w:numId w:val="73"/>
              </w:numPr>
            </w:pPr>
            <w:proofErr w:type="gramStart"/>
            <w:r w:rsidRPr="00834834">
              <w:t>la</w:t>
            </w:r>
            <w:proofErr w:type="gramEnd"/>
            <w:r w:rsidRPr="00834834">
              <w:t xml:space="preserve"> vérification de tous les éléments de la facture.</w:t>
            </w:r>
          </w:p>
          <w:p w14:paraId="3755B94A" w14:textId="746AA249" w:rsidR="00133878" w:rsidRPr="00700BC3" w:rsidRDefault="00133878" w:rsidP="00ED4F09">
            <w:pPr>
              <w:pStyle w:val="ListParagraph"/>
              <w:numPr>
                <w:ilvl w:val="0"/>
                <w:numId w:val="71"/>
              </w:numPr>
            </w:pPr>
            <w:r w:rsidRPr="00700BC3">
              <w:t>En ce qui concerne les prestations de services, est considérée comme pièce justificative valable la facture établie par la personne ou l</w:t>
            </w:r>
            <w:r w:rsidR="00D0034C" w:rsidRPr="00700BC3">
              <w:t>’</w:t>
            </w:r>
            <w:r w:rsidRPr="00700BC3">
              <w:t>entreprise prestataire.</w:t>
            </w:r>
          </w:p>
          <w:p w14:paraId="6EB20ABF" w14:textId="0E3B9DD2" w:rsidR="00133878" w:rsidRPr="00834834" w:rsidRDefault="00133878" w:rsidP="00700BC3">
            <w:pPr>
              <w:pStyle w:val="ListParagraph"/>
              <w:ind w:left="1161"/>
            </w:pPr>
            <w:r w:rsidRPr="00834834">
              <w:t>Ce document :</w:t>
            </w:r>
          </w:p>
          <w:p w14:paraId="3F532A70" w14:textId="28C5ADDB" w:rsidR="00133878" w:rsidRPr="00834834" w:rsidRDefault="00133878" w:rsidP="00ED4F09">
            <w:pPr>
              <w:pStyle w:val="numbering2"/>
              <w:numPr>
                <w:ilvl w:val="2"/>
                <w:numId w:val="74"/>
              </w:numPr>
            </w:pPr>
            <w:proofErr w:type="gramStart"/>
            <w:r w:rsidRPr="00834834">
              <w:rPr>
                <w:bCs/>
              </w:rPr>
              <w:t>mentionne</w:t>
            </w:r>
            <w:proofErr w:type="gramEnd"/>
            <w:r w:rsidRPr="00834834">
              <w:t xml:space="preserve"> la nature de la prestation, éventuellement son prix unitaire, son prix total, la mention de l</w:t>
            </w:r>
            <w:r w:rsidR="00D0034C" w:rsidRPr="00834834">
              <w:t>’</w:t>
            </w:r>
            <w:r w:rsidRPr="00834834">
              <w:t xml:space="preserve">exemption de taxes ou impôts ou, dans la mesure du </w:t>
            </w:r>
            <w:r w:rsidRPr="00834834">
              <w:lastRenderedPageBreak/>
              <w:t>possible, le montant des taxes et impôts afférents à la prestation et inclus dans le prix ;</w:t>
            </w:r>
          </w:p>
          <w:p w14:paraId="748FD7A3" w14:textId="47A73E60" w:rsidR="00133878" w:rsidRPr="00834834" w:rsidRDefault="009C673A" w:rsidP="00ED4F09">
            <w:pPr>
              <w:pStyle w:val="numbering2"/>
              <w:numPr>
                <w:ilvl w:val="2"/>
                <w:numId w:val="74"/>
              </w:numPr>
            </w:pPr>
            <w:proofErr w:type="gramStart"/>
            <w:r w:rsidRPr="00834834">
              <w:rPr>
                <w:bCs/>
              </w:rPr>
              <w:t>comporte</w:t>
            </w:r>
            <w:proofErr w:type="gramEnd"/>
            <w:r w:rsidRPr="00834834">
              <w:t xml:space="preserve"> l</w:t>
            </w:r>
            <w:r w:rsidR="00D0034C" w:rsidRPr="00834834">
              <w:t>’</w:t>
            </w:r>
            <w:r w:rsidRPr="00834834">
              <w:t>attestation «</w:t>
            </w:r>
            <w:r w:rsidR="00D0034C" w:rsidRPr="00834834">
              <w:t> </w:t>
            </w:r>
            <w:r w:rsidRPr="00834834">
              <w:t>Conforme aux faits</w:t>
            </w:r>
            <w:r w:rsidR="00D0034C" w:rsidRPr="00834834">
              <w:t> </w:t>
            </w:r>
            <w:r w:rsidRPr="00834834">
              <w:t>», signée par l’ordonnateur responsable ou l’agent habilité par lui, certifiant la bonne exécution du service et la vérification de tous les éléments de la facture.</w:t>
            </w:r>
          </w:p>
          <w:p w14:paraId="4D5076F5" w14:textId="142BF028" w:rsidR="006F440A" w:rsidRPr="00700BC3" w:rsidRDefault="006F440A" w:rsidP="00ED4F09">
            <w:pPr>
              <w:pStyle w:val="ListParagraph"/>
              <w:numPr>
                <w:ilvl w:val="0"/>
                <w:numId w:val="71"/>
              </w:numPr>
            </w:pPr>
            <w:r w:rsidRPr="00700BC3">
              <w:t>En ce qui concerne les contrats d</w:t>
            </w:r>
            <w:r w:rsidR="00D0034C" w:rsidRPr="00700BC3">
              <w:t>’</w:t>
            </w:r>
            <w:r w:rsidRPr="00700BC3">
              <w:t>études et de recherches, est considérée comme pièce justificative valable la facture établie par le contractant éventuellement accompagnée de :</w:t>
            </w:r>
          </w:p>
          <w:p w14:paraId="22F080D4" w14:textId="7611E14E" w:rsidR="006F440A" w:rsidRPr="00834834" w:rsidRDefault="006F440A" w:rsidP="00ED4F09">
            <w:pPr>
              <w:pStyle w:val="numbering2"/>
              <w:numPr>
                <w:ilvl w:val="0"/>
                <w:numId w:val="75"/>
              </w:numPr>
              <w:ind w:left="2153"/>
            </w:pPr>
            <w:proofErr w:type="gramStart"/>
            <w:r w:rsidRPr="00834834">
              <w:t>un</w:t>
            </w:r>
            <w:proofErr w:type="gramEnd"/>
            <w:r w:rsidRPr="00834834">
              <w:t xml:space="preserve"> exemplaire du contrat et des avenants éventuels, à joindre au premier mandat de paiement ;</w:t>
            </w:r>
          </w:p>
          <w:p w14:paraId="7F8B0719" w14:textId="2200A2A2" w:rsidR="006F440A" w:rsidRPr="00834834" w:rsidRDefault="006F440A" w:rsidP="00ED4F09">
            <w:pPr>
              <w:pStyle w:val="numbering2"/>
              <w:numPr>
                <w:ilvl w:val="0"/>
                <w:numId w:val="75"/>
              </w:numPr>
              <w:ind w:left="2153"/>
            </w:pPr>
            <w:proofErr w:type="gramStart"/>
            <w:r w:rsidRPr="00834834">
              <w:t>tout</w:t>
            </w:r>
            <w:proofErr w:type="gramEnd"/>
            <w:r w:rsidRPr="00834834">
              <w:t xml:space="preserve"> document qui, suivant les dispositions d</w:t>
            </w:r>
            <w:r w:rsidR="00D0034C" w:rsidRPr="00834834">
              <w:t>’</w:t>
            </w:r>
            <w:r w:rsidRPr="00834834">
              <w:t>ordre financier figurant dans les contrats, justifie les paiements correspondants.</w:t>
            </w:r>
          </w:p>
          <w:p w14:paraId="4CCEA439" w14:textId="77777777" w:rsidR="007D48C5" w:rsidRPr="00834834" w:rsidRDefault="006F440A" w:rsidP="00700BC3">
            <w:pPr>
              <w:rPr>
                <w:lang w:val="fr-BE"/>
              </w:rPr>
            </w:pPr>
            <w:r w:rsidRPr="00834834">
              <w:rPr>
                <w:lang w:val="fr-BE"/>
              </w:rPr>
              <w:t>Tout paiement est accompagné d</w:t>
            </w:r>
            <w:r w:rsidR="00D0034C" w:rsidRPr="00834834">
              <w:rPr>
                <w:lang w:val="fr-BE"/>
              </w:rPr>
              <w:t>’</w:t>
            </w:r>
            <w:r w:rsidRPr="00834834">
              <w:rPr>
                <w:lang w:val="fr-BE"/>
              </w:rPr>
              <w:t>un document portant la mention «</w:t>
            </w:r>
            <w:r w:rsidR="00D0034C" w:rsidRPr="00834834">
              <w:rPr>
                <w:lang w:val="fr-BE"/>
              </w:rPr>
              <w:t> </w:t>
            </w:r>
            <w:r w:rsidRPr="00834834">
              <w:rPr>
                <w:lang w:val="fr-BE"/>
              </w:rPr>
              <w:t>Conforme aux faits</w:t>
            </w:r>
            <w:r w:rsidR="00D0034C" w:rsidRPr="00834834">
              <w:rPr>
                <w:lang w:val="fr-BE"/>
              </w:rPr>
              <w:t> </w:t>
            </w:r>
            <w:r w:rsidRPr="00834834">
              <w:rPr>
                <w:lang w:val="fr-BE"/>
              </w:rPr>
              <w:t>», signé par l’ordonnateur responsable ou l’agent habilité par lui.</w:t>
            </w:r>
          </w:p>
          <w:p w14:paraId="6F0B568E" w14:textId="0B3A3639" w:rsidR="006F440A" w:rsidRPr="00834834" w:rsidRDefault="00047CFA" w:rsidP="00ED4F09">
            <w:pPr>
              <w:pStyle w:val="ListParagraph"/>
              <w:numPr>
                <w:ilvl w:val="0"/>
                <w:numId w:val="71"/>
              </w:numPr>
            </w:pPr>
            <w:r w:rsidRPr="00834834">
              <w:t>En ce qui concerne les dépenses de personnel, sont considérées comme pièces justificatives :</w:t>
            </w:r>
          </w:p>
          <w:p w14:paraId="21047D79" w14:textId="34F47321" w:rsidR="006F440A" w:rsidRPr="00834834" w:rsidRDefault="007E3014" w:rsidP="00ED4F09">
            <w:pPr>
              <w:pStyle w:val="numbering2"/>
              <w:numPr>
                <w:ilvl w:val="0"/>
                <w:numId w:val="76"/>
              </w:numPr>
              <w:ind w:left="2153"/>
            </w:pPr>
            <w:r w:rsidRPr="00834834">
              <w:t>Pour le traitement mensuel :</w:t>
            </w:r>
          </w:p>
          <w:p w14:paraId="444E5669" w14:textId="072FAE36" w:rsidR="006F440A" w:rsidRPr="00834834" w:rsidRDefault="009C673A" w:rsidP="00ED4F09">
            <w:pPr>
              <w:pStyle w:val="numbering2"/>
              <w:numPr>
                <w:ilvl w:val="2"/>
                <w:numId w:val="77"/>
              </w:numPr>
            </w:pPr>
            <w:r w:rsidRPr="00834834">
              <w:t>La liste complète du personnel, précisant tous les éléments de la rémunération. Cette liste est jointe à l</w:t>
            </w:r>
            <w:r w:rsidR="00D0034C" w:rsidRPr="00834834">
              <w:t>’</w:t>
            </w:r>
            <w:r w:rsidRPr="00834834">
              <w:t>ordre de paiement.</w:t>
            </w:r>
          </w:p>
          <w:p w14:paraId="0C55D09E" w14:textId="4B3B07FC" w:rsidR="006F440A" w:rsidRPr="00834834" w:rsidRDefault="009C673A" w:rsidP="00ED4F09">
            <w:pPr>
              <w:pStyle w:val="numbering2"/>
              <w:numPr>
                <w:ilvl w:val="2"/>
                <w:numId w:val="77"/>
              </w:numPr>
            </w:pPr>
            <w:r w:rsidRPr="00834834">
              <w:t>Un formulaire (fiche personnelle) qui fait apparaître, chaque fois qu</w:t>
            </w:r>
            <w:r w:rsidR="00D0034C" w:rsidRPr="00834834">
              <w:t>’</w:t>
            </w:r>
            <w:r w:rsidRPr="00834834">
              <w:t>il y a lieu, toute modification d</w:t>
            </w:r>
            <w:r w:rsidR="00D0034C" w:rsidRPr="00834834">
              <w:t>’</w:t>
            </w:r>
            <w:r w:rsidRPr="00834834">
              <w:t>un élément quelconque de la rémunération. Ce formulaire est établi à partir des décisions prises dans chaque cas particulier.</w:t>
            </w:r>
          </w:p>
          <w:p w14:paraId="5330E20A" w14:textId="32AE3B7E" w:rsidR="006F440A" w:rsidRPr="00834834" w:rsidRDefault="009C673A" w:rsidP="00ED4F09">
            <w:pPr>
              <w:pStyle w:val="numbering2"/>
              <w:numPr>
                <w:ilvl w:val="2"/>
                <w:numId w:val="77"/>
              </w:numPr>
            </w:pPr>
            <w:r w:rsidRPr="00834834">
              <w:t>S</w:t>
            </w:r>
            <w:r w:rsidR="00D0034C" w:rsidRPr="00834834">
              <w:t>’</w:t>
            </w:r>
            <w:r w:rsidRPr="00834834">
              <w:t>il s</w:t>
            </w:r>
            <w:r w:rsidR="00D0034C" w:rsidRPr="00834834">
              <w:t>’</w:t>
            </w:r>
            <w:r w:rsidRPr="00834834">
              <w:t>agit de recrutements ou de nominations, une copie certifiée conforme de la décision de recrutement ou de nomination accompagne la liquidation du premier paiement.</w:t>
            </w:r>
          </w:p>
          <w:p w14:paraId="155C6CA8" w14:textId="19F9884A" w:rsidR="006F440A" w:rsidRPr="00834834" w:rsidRDefault="006F440A" w:rsidP="00ED4F09">
            <w:pPr>
              <w:pStyle w:val="numbering2"/>
              <w:numPr>
                <w:ilvl w:val="0"/>
                <w:numId w:val="76"/>
              </w:numPr>
              <w:ind w:left="2153"/>
            </w:pPr>
            <w:r w:rsidRPr="00834834">
              <w:t>Pour les autres rémunérations (personnel rémunéré à l</w:t>
            </w:r>
            <w:r w:rsidR="00D0034C" w:rsidRPr="00834834">
              <w:t>’</w:t>
            </w:r>
            <w:r w:rsidRPr="00834834">
              <w:t>heure ou à la journée) :</w:t>
            </w:r>
          </w:p>
          <w:p w14:paraId="15C12667" w14:textId="635E6B12" w:rsidR="006F440A" w:rsidRPr="00834834" w:rsidRDefault="006F440A" w:rsidP="00700BC3">
            <w:pPr>
              <w:rPr>
                <w:lang w:val="fr-BE"/>
              </w:rPr>
            </w:pPr>
            <w:r w:rsidRPr="00834834">
              <w:rPr>
                <w:lang w:val="fr-BE"/>
              </w:rPr>
              <w:t>Un état dressé par l</w:t>
            </w:r>
            <w:r w:rsidR="00D0034C" w:rsidRPr="00834834">
              <w:rPr>
                <w:lang w:val="fr-BE"/>
              </w:rPr>
              <w:t>’</w:t>
            </w:r>
            <w:r w:rsidRPr="00834834">
              <w:rPr>
                <w:lang w:val="fr-BE"/>
              </w:rPr>
              <w:t>ordonnateur responsable indiquant les jours et heures de présence.</w:t>
            </w:r>
          </w:p>
          <w:p w14:paraId="2DEAE7D4" w14:textId="6ACDF081" w:rsidR="006F440A" w:rsidRPr="00834834" w:rsidRDefault="006F440A" w:rsidP="00ED4F09">
            <w:pPr>
              <w:pStyle w:val="numbering2"/>
              <w:numPr>
                <w:ilvl w:val="0"/>
                <w:numId w:val="76"/>
              </w:numPr>
              <w:ind w:left="2153"/>
            </w:pPr>
            <w:r w:rsidRPr="00834834">
              <w:t>Un état, signé par la personne habilitée, certifiant les prestations supplémentaires effectuées.</w:t>
            </w:r>
          </w:p>
          <w:p w14:paraId="27CC8283" w14:textId="0815A0F0" w:rsidR="006F440A" w:rsidRPr="00834834" w:rsidRDefault="006F440A" w:rsidP="00ED4F09">
            <w:pPr>
              <w:pStyle w:val="numbering2"/>
              <w:numPr>
                <w:ilvl w:val="0"/>
                <w:numId w:val="76"/>
              </w:numPr>
              <w:ind w:left="2153"/>
            </w:pPr>
            <w:r w:rsidRPr="00834834">
              <w:t>Pour les frais de mission et de stage :</w:t>
            </w:r>
          </w:p>
          <w:p w14:paraId="6BB7B4E7" w14:textId="7BE767F2" w:rsidR="006F440A" w:rsidRPr="00834834" w:rsidRDefault="006F440A" w:rsidP="00ED4F09">
            <w:pPr>
              <w:pStyle w:val="numbering2"/>
              <w:numPr>
                <w:ilvl w:val="2"/>
                <w:numId w:val="78"/>
              </w:numPr>
            </w:pPr>
            <w:r w:rsidRPr="00834834">
              <w:t>L</w:t>
            </w:r>
            <w:r w:rsidR="00D0034C" w:rsidRPr="00834834">
              <w:t>’</w:t>
            </w:r>
            <w:r w:rsidRPr="00834834">
              <w:t>ordre de mission dûment signé par l</w:t>
            </w:r>
            <w:r w:rsidR="00D0034C" w:rsidRPr="00834834">
              <w:t>’</w:t>
            </w:r>
            <w:r w:rsidRPr="00834834">
              <w:t>ordonnateur responsable.</w:t>
            </w:r>
          </w:p>
          <w:p w14:paraId="01A3EF8B" w14:textId="778BB721" w:rsidR="006F440A" w:rsidRPr="00834834" w:rsidRDefault="009C673A" w:rsidP="00ED4F09">
            <w:pPr>
              <w:pStyle w:val="numbering2"/>
              <w:numPr>
                <w:ilvl w:val="2"/>
                <w:numId w:val="78"/>
              </w:numPr>
            </w:pPr>
            <w:r w:rsidRPr="00834834">
              <w:t>Le «</w:t>
            </w:r>
            <w:r w:rsidR="00D0034C" w:rsidRPr="00834834">
              <w:t> </w:t>
            </w:r>
            <w:r w:rsidRPr="00834834">
              <w:t>décompte des frais de mission</w:t>
            </w:r>
            <w:r w:rsidR="00D0034C" w:rsidRPr="00834834">
              <w:t> </w:t>
            </w:r>
            <w:r w:rsidRPr="00834834">
              <w:t>» indiquant notamment le lieu de mission, la date et l</w:t>
            </w:r>
            <w:r w:rsidR="00D0034C" w:rsidRPr="00834834">
              <w:t>’</w:t>
            </w:r>
            <w:r w:rsidRPr="00834834">
              <w:t>heure de l</w:t>
            </w:r>
            <w:r w:rsidR="00D0034C" w:rsidRPr="00834834">
              <w:t>’</w:t>
            </w:r>
            <w:r w:rsidRPr="00834834">
              <w:t>arrivée sur le lieu de la mission et du départ, les frais de transport, les frais de séjour, les autres frais dûment autorisés, sur production de pièces justificatives ; ce décompte est signé par le chargé de mission et par l</w:t>
            </w:r>
            <w:r w:rsidR="00D0034C" w:rsidRPr="00834834">
              <w:t>’</w:t>
            </w:r>
            <w:r w:rsidRPr="00834834">
              <w:t>ordonnateur responsable.</w:t>
            </w:r>
          </w:p>
          <w:p w14:paraId="09295116" w14:textId="146C2AE5" w:rsidR="006F440A" w:rsidRPr="00834834" w:rsidRDefault="006F440A" w:rsidP="007A1590">
            <w:pPr>
              <w:pStyle w:val="numbering2"/>
              <w:numPr>
                <w:ilvl w:val="0"/>
                <w:numId w:val="76"/>
              </w:numPr>
              <w:ind w:left="2148"/>
            </w:pPr>
            <w:r w:rsidRPr="00834834">
              <w:t>Pour les autres dépenses du personnel :</w:t>
            </w:r>
          </w:p>
          <w:p w14:paraId="11186534" w14:textId="5EB03CA6" w:rsidR="00EE530C" w:rsidRPr="00834834" w:rsidRDefault="006F440A" w:rsidP="00ED4F09">
            <w:pPr>
              <w:pStyle w:val="numbering2"/>
              <w:numPr>
                <w:ilvl w:val="2"/>
                <w:numId w:val="79"/>
              </w:numPr>
            </w:pPr>
            <w:r w:rsidRPr="00834834">
              <w:t>Les pièces justificatives qui font référence à la décision sur laquelle se base la dépense et qui font état de tous les éléments de calcul.</w:t>
            </w:r>
          </w:p>
          <w:p w14:paraId="6FEF414F" w14:textId="566E0852" w:rsidR="00EE530C" w:rsidRPr="00834834" w:rsidRDefault="00BA73C9" w:rsidP="00ED4F09">
            <w:pPr>
              <w:pStyle w:val="ListParagraph"/>
              <w:numPr>
                <w:ilvl w:val="0"/>
                <w:numId w:val="71"/>
              </w:numPr>
            </w:pPr>
            <w:r w:rsidRPr="00834834">
              <w:t>Lorsque plusieurs paiements sont appuyés d</w:t>
            </w:r>
            <w:r w:rsidR="00D0034C" w:rsidRPr="00834834">
              <w:t>’</w:t>
            </w:r>
            <w:r w:rsidRPr="00834834">
              <w:t>une seule pièce justificative, tous les ordres de paiement comportent une référence à la pièce originale.</w:t>
            </w:r>
          </w:p>
          <w:p w14:paraId="48A96BD9" w14:textId="56421C69" w:rsidR="00EE530C" w:rsidRPr="00834834" w:rsidRDefault="00BA73C9" w:rsidP="00ED4F09">
            <w:pPr>
              <w:pStyle w:val="ListParagraph"/>
              <w:numPr>
                <w:ilvl w:val="0"/>
                <w:numId w:val="71"/>
              </w:numPr>
            </w:pPr>
            <w:r w:rsidRPr="00834834">
              <w:t>Hormis les cas prévus aux paragraphes 1 à 4, lorsqu</w:t>
            </w:r>
            <w:r w:rsidR="00D0034C" w:rsidRPr="00834834">
              <w:t>’</w:t>
            </w:r>
            <w:r w:rsidRPr="00834834">
              <w:t>une pièce justificative originale ne peut être présentée, une copie certifiée conforme peut lui être substituée par l</w:t>
            </w:r>
            <w:r w:rsidR="00D0034C" w:rsidRPr="00834834">
              <w:t>’</w:t>
            </w:r>
            <w:r w:rsidRPr="00834834">
              <w:t>ordonnateur responsable, qui expose les motifs pour lesquels l</w:t>
            </w:r>
            <w:r w:rsidR="00D0034C" w:rsidRPr="00834834">
              <w:t>’</w:t>
            </w:r>
            <w:r w:rsidRPr="00834834">
              <w:t>original n</w:t>
            </w:r>
            <w:r w:rsidR="00D0034C" w:rsidRPr="00834834">
              <w:t>’</w:t>
            </w:r>
            <w:r w:rsidRPr="00834834">
              <w:t>a pu être présenté et de certifier que le paiement n</w:t>
            </w:r>
            <w:r w:rsidR="00D0034C" w:rsidRPr="00834834">
              <w:t>’</w:t>
            </w:r>
            <w:r w:rsidRPr="00834834">
              <w:t>a pas eu lieu.</w:t>
            </w:r>
          </w:p>
          <w:p w14:paraId="269B3488" w14:textId="52CA07FF" w:rsidR="002C70C7" w:rsidRPr="00834834" w:rsidRDefault="004A2404" w:rsidP="007673A5">
            <w:pPr>
              <w:pStyle w:val="Subtitle"/>
              <w:rPr>
                <w:lang w:val="fr-BE"/>
              </w:rPr>
            </w:pPr>
            <w:r w:rsidRPr="00834834">
              <w:rPr>
                <w:lang w:val="fr-BE"/>
              </w:rPr>
              <w:lastRenderedPageBreak/>
              <w:t>Article</w:t>
            </w:r>
            <w:r w:rsidR="00D0034C" w:rsidRPr="00834834">
              <w:rPr>
                <w:lang w:val="fr-BE"/>
              </w:rPr>
              <w:t> </w:t>
            </w:r>
            <w:r w:rsidRPr="00834834">
              <w:rPr>
                <w:lang w:val="fr-BE"/>
              </w:rPr>
              <w:t>59</w:t>
            </w:r>
          </w:p>
          <w:p w14:paraId="2B3B10F0" w14:textId="42B5B242" w:rsidR="0058549C" w:rsidRPr="00834834" w:rsidRDefault="00FA4F9B" w:rsidP="007673A5">
            <w:pPr>
              <w:pStyle w:val="Subtitle"/>
              <w:rPr>
                <w:lang w:val="fr-BE"/>
              </w:rPr>
            </w:pPr>
            <w:r w:rsidRPr="00834834">
              <w:rPr>
                <w:lang w:val="fr-BE"/>
              </w:rPr>
              <w:t>Paiements échelonnés</w:t>
            </w:r>
          </w:p>
          <w:p w14:paraId="14057E43" w14:textId="56FAA4F5" w:rsidR="004A2404" w:rsidRPr="00834834" w:rsidRDefault="00FA4F9B" w:rsidP="00700BC3">
            <w:pPr>
              <w:rPr>
                <w:lang w:val="fr-BE"/>
              </w:rPr>
            </w:pPr>
            <w:r w:rsidRPr="00834834">
              <w:rPr>
                <w:lang w:val="fr-BE"/>
              </w:rPr>
              <w:t>En cas de paiement échelonné, le premier ordre de paiement est accompagné des pièces établissant les droits du créancier au paiement de l</w:t>
            </w:r>
            <w:r w:rsidR="00D0034C" w:rsidRPr="00834834">
              <w:rPr>
                <w:lang w:val="fr-BE"/>
              </w:rPr>
              <w:t>’</w:t>
            </w:r>
            <w:r w:rsidRPr="00834834">
              <w:rPr>
                <w:lang w:val="fr-BE"/>
              </w:rPr>
              <w:t>acompte, y compris une copie certifiée conforme du contrat. Les ordres de paiement postérieurs rappellent les justifications déjà produites dans tous les paiements échelonnés précédents, ainsi que les références du premier ordre de paiement.</w:t>
            </w:r>
          </w:p>
          <w:p w14:paraId="3EEA9174" w14:textId="0B52B05F" w:rsidR="00AC6DAF" w:rsidRPr="00834834" w:rsidRDefault="00FF589B" w:rsidP="007673A5">
            <w:pPr>
              <w:pStyle w:val="Subtitle"/>
              <w:rPr>
                <w:lang w:val="fr-BE"/>
              </w:rPr>
            </w:pPr>
            <w:r w:rsidRPr="00834834">
              <w:rPr>
                <w:lang w:val="fr-BE"/>
              </w:rPr>
              <w:t>Article</w:t>
            </w:r>
            <w:r w:rsidR="00D0034C" w:rsidRPr="00834834">
              <w:rPr>
                <w:lang w:val="fr-BE"/>
              </w:rPr>
              <w:t> </w:t>
            </w:r>
            <w:r w:rsidRPr="00834834">
              <w:rPr>
                <w:lang w:val="fr-BE"/>
              </w:rPr>
              <w:t>60</w:t>
            </w:r>
          </w:p>
          <w:p w14:paraId="1DBB391B" w14:textId="458EF417" w:rsidR="00FF589B" w:rsidRPr="00834834" w:rsidRDefault="00FF589B" w:rsidP="007673A5">
            <w:pPr>
              <w:pStyle w:val="Subtitle"/>
              <w:rPr>
                <w:lang w:val="fr-BE"/>
              </w:rPr>
            </w:pPr>
            <w:r w:rsidRPr="00834834">
              <w:rPr>
                <w:lang w:val="fr-BE"/>
              </w:rPr>
              <w:t>Octroi d</w:t>
            </w:r>
            <w:r w:rsidR="00D0034C" w:rsidRPr="00834834">
              <w:rPr>
                <w:lang w:val="fr-BE"/>
              </w:rPr>
              <w:t>’</w:t>
            </w:r>
            <w:r w:rsidRPr="00834834">
              <w:rPr>
                <w:lang w:val="fr-BE"/>
              </w:rPr>
              <w:t>avances</w:t>
            </w:r>
          </w:p>
          <w:p w14:paraId="328A7AA8" w14:textId="2BFD2349" w:rsidR="004A2404" w:rsidRPr="00700BC3" w:rsidRDefault="00101A74" w:rsidP="00ED4F09">
            <w:pPr>
              <w:pStyle w:val="ListParagraph"/>
              <w:numPr>
                <w:ilvl w:val="0"/>
                <w:numId w:val="80"/>
              </w:numPr>
            </w:pPr>
            <w:r w:rsidRPr="00700BC3">
              <w:t>L</w:t>
            </w:r>
            <w:r w:rsidR="00D0034C" w:rsidRPr="00700BC3">
              <w:t>’</w:t>
            </w:r>
            <w:r w:rsidRPr="00700BC3">
              <w:t>ordonnateur responsable peut octroyer des avances au personnel si le Statut du ce personnel, une disposition du présent règlement ou une règle établie par le Secrétaire général le prévoient expressément.</w:t>
            </w:r>
          </w:p>
          <w:p w14:paraId="5D231682" w14:textId="293F815C" w:rsidR="00AC6DAF" w:rsidRPr="00700BC3" w:rsidRDefault="00101A74" w:rsidP="00ED4F09">
            <w:pPr>
              <w:pStyle w:val="ListParagraph"/>
              <w:numPr>
                <w:ilvl w:val="0"/>
                <w:numId w:val="80"/>
              </w:numPr>
            </w:pPr>
            <w:r w:rsidRPr="00700BC3">
              <w:t>À l</w:t>
            </w:r>
            <w:r w:rsidR="00D0034C" w:rsidRPr="00700BC3">
              <w:t>’</w:t>
            </w:r>
            <w:r w:rsidRPr="00700BC3">
              <w:t>exception des avances visées au paragraphe 1, l</w:t>
            </w:r>
            <w:r w:rsidR="00D0034C" w:rsidRPr="00700BC3">
              <w:t>’</w:t>
            </w:r>
            <w:r w:rsidRPr="00700BC3">
              <w:t>ordonnateur responsable peut octroyer des avances destinées à faire face à des dépenses à effectuer par un agent pour le compte de l</w:t>
            </w:r>
            <w:r w:rsidR="00D0034C" w:rsidRPr="00700BC3">
              <w:t>’</w:t>
            </w:r>
            <w:r w:rsidRPr="00700BC3">
              <w:t>École ou du Bureau du Secrétaire général. Ces dépenses peuvent être occasionnées par une mission spécifique ou relative à des dépenses probables mais indéterminées dans leur nature ou leur montant.</w:t>
            </w:r>
          </w:p>
          <w:p w14:paraId="093BE7E6" w14:textId="2663EDD5" w:rsidR="00FF589B" w:rsidRPr="00700BC3" w:rsidRDefault="00FF589B" w:rsidP="00700BC3">
            <w:pPr>
              <w:pStyle w:val="ListParagraph"/>
              <w:ind w:left="1117"/>
            </w:pPr>
            <w:r w:rsidRPr="00700BC3">
              <w:rPr>
                <w:rStyle w:val="Corpsdutexte"/>
                <w:rFonts w:cs="Times New Roman"/>
                <w:sz w:val="22"/>
                <w:szCs w:val="20"/>
                <w:shd w:val="clear" w:color="auto" w:fill="auto"/>
              </w:rPr>
              <w:t>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octroi de ces avances et la désignation de 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agent responsable font 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objet d</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une décision de 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ordonnateur responsable qui précise la nature de la dépense, le montant de 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avance et la durée de son utilisation et qui fait référence à 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engagement couvrant la dépense.</w:t>
            </w:r>
          </w:p>
          <w:p w14:paraId="5A3C2A43" w14:textId="14CA140D" w:rsidR="00FF589B" w:rsidRPr="00700BC3" w:rsidRDefault="00FF589B" w:rsidP="00700BC3">
            <w:pPr>
              <w:pStyle w:val="ListParagraph"/>
              <w:ind w:left="1117"/>
            </w:pPr>
            <w:r w:rsidRPr="00700BC3">
              <w:t>L</w:t>
            </w:r>
            <w:r w:rsidR="00D0034C" w:rsidRPr="00700BC3">
              <w:t>’</w:t>
            </w:r>
            <w:r w:rsidRPr="00700BC3">
              <w:t>agent désigné est responsable des fonds mis à sa disposition et prend toutes les mesures utiles pour en garantir la conservation.</w:t>
            </w:r>
          </w:p>
          <w:p w14:paraId="512E1FA9" w14:textId="0C44BB07" w:rsidR="00FF589B" w:rsidRPr="00700BC3" w:rsidRDefault="00FF589B" w:rsidP="00700BC3">
            <w:pPr>
              <w:pStyle w:val="ListParagraph"/>
              <w:ind w:left="1117"/>
            </w:pPr>
            <w:r w:rsidRPr="00700BC3">
              <w:t>Dans les dix jours qui suivent la réalisation de l</w:t>
            </w:r>
            <w:r w:rsidR="00D0034C" w:rsidRPr="00700BC3">
              <w:t>’</w:t>
            </w:r>
            <w:r w:rsidRPr="00700BC3">
              <w:t>objet pour lequel elle a été consentie, il adresse au comptable un rapport détaillé sur l</w:t>
            </w:r>
            <w:r w:rsidR="00D0034C" w:rsidRPr="00700BC3">
              <w:t>’</w:t>
            </w:r>
            <w:r w:rsidRPr="00700BC3">
              <w:t>utilisation de l</w:t>
            </w:r>
            <w:r w:rsidR="00D0034C" w:rsidRPr="00700BC3">
              <w:t>’</w:t>
            </w:r>
            <w:r w:rsidRPr="00700BC3">
              <w:t>avance et reverse le solde éventuel.</w:t>
            </w:r>
          </w:p>
          <w:p w14:paraId="71816FA2" w14:textId="72120BB5" w:rsidR="00FF589B" w:rsidRPr="00700BC3" w:rsidRDefault="00FF589B" w:rsidP="00700BC3">
            <w:pPr>
              <w:pStyle w:val="ListParagraph"/>
              <w:ind w:left="1117"/>
            </w:pPr>
            <w:r w:rsidRPr="00700BC3">
              <w:t>Dans un délai de six semaines à partir de la même date, l</w:t>
            </w:r>
            <w:r w:rsidR="00D0034C" w:rsidRPr="00700BC3">
              <w:t>’</w:t>
            </w:r>
            <w:r w:rsidRPr="00700BC3">
              <w:t>ordonnateur procède à la liquidation de l</w:t>
            </w:r>
            <w:r w:rsidR="00D0034C" w:rsidRPr="00700BC3">
              <w:t>’</w:t>
            </w:r>
            <w:r w:rsidRPr="00700BC3">
              <w:t>avance afin de permettre la régularisation du compte d</w:t>
            </w:r>
            <w:r w:rsidR="00D0034C" w:rsidRPr="00700BC3">
              <w:t>’</w:t>
            </w:r>
            <w:r w:rsidRPr="00700BC3">
              <w:t>attente qui avait été ouvert au moment de l’octroi.</w:t>
            </w:r>
          </w:p>
          <w:p w14:paraId="0DA48082" w14:textId="074FEDE3"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61</w:t>
            </w:r>
          </w:p>
          <w:p w14:paraId="7AE2A901" w14:textId="7F5413F3" w:rsidR="004A2404" w:rsidRPr="00834834" w:rsidRDefault="009C4333" w:rsidP="007673A5">
            <w:pPr>
              <w:pStyle w:val="Subtitle"/>
              <w:rPr>
                <w:lang w:val="fr-BE"/>
              </w:rPr>
            </w:pPr>
            <w:r w:rsidRPr="00834834">
              <w:rPr>
                <w:lang w:val="fr-BE"/>
              </w:rPr>
              <w:t>Transmission d</w:t>
            </w:r>
            <w:r w:rsidR="00D0034C" w:rsidRPr="00834834">
              <w:rPr>
                <w:lang w:val="fr-BE"/>
              </w:rPr>
              <w:t>’</w:t>
            </w:r>
            <w:r w:rsidRPr="00834834">
              <w:rPr>
                <w:lang w:val="fr-BE"/>
              </w:rPr>
              <w:t>un ordre de paiement au comptable</w:t>
            </w:r>
          </w:p>
          <w:p w14:paraId="647A8AE4" w14:textId="25968927" w:rsidR="004A2404" w:rsidRPr="00834834" w:rsidRDefault="004A2404" w:rsidP="00700BC3">
            <w:pPr>
              <w:rPr>
                <w:lang w:val="fr-BE"/>
              </w:rPr>
            </w:pPr>
            <w:r w:rsidRPr="00834834">
              <w:rPr>
                <w:lang w:val="fr-BE"/>
              </w:rPr>
              <w:t>Après l</w:t>
            </w:r>
            <w:r w:rsidR="00D0034C" w:rsidRPr="00834834">
              <w:rPr>
                <w:lang w:val="fr-BE"/>
              </w:rPr>
              <w:t>’</w:t>
            </w:r>
            <w:r w:rsidRPr="00834834">
              <w:rPr>
                <w:lang w:val="fr-BE"/>
              </w:rPr>
              <w:t>émission d</w:t>
            </w:r>
            <w:r w:rsidR="00D0034C" w:rsidRPr="00834834">
              <w:rPr>
                <w:lang w:val="fr-BE"/>
              </w:rPr>
              <w:t>’</w:t>
            </w:r>
            <w:r w:rsidRPr="00834834">
              <w:rPr>
                <w:lang w:val="fr-BE"/>
              </w:rPr>
              <w:t>un ordre de paiement, l’ordonnateur responsable le transmet au comptable, accompagné de toutes les pièces justificatives.</w:t>
            </w:r>
          </w:p>
          <w:p w14:paraId="4C2F2CA9" w14:textId="55A78806"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62</w:t>
            </w:r>
          </w:p>
          <w:p w14:paraId="48D13572" w14:textId="77777777" w:rsidR="004A2404" w:rsidRPr="00834834" w:rsidRDefault="0058549C" w:rsidP="007673A5">
            <w:pPr>
              <w:pStyle w:val="Subtitle"/>
              <w:rPr>
                <w:lang w:val="fr-BE"/>
              </w:rPr>
            </w:pPr>
            <w:r w:rsidRPr="00834834">
              <w:rPr>
                <w:lang w:val="fr-BE"/>
              </w:rPr>
              <w:t>Paiement des dépenses</w:t>
            </w:r>
          </w:p>
          <w:p w14:paraId="5BD2F804" w14:textId="77777777" w:rsidR="007D48C5" w:rsidRPr="00700BC3" w:rsidRDefault="00982B14" w:rsidP="00ED4F09">
            <w:pPr>
              <w:pStyle w:val="ListParagraph"/>
              <w:numPr>
                <w:ilvl w:val="0"/>
                <w:numId w:val="81"/>
              </w:numPr>
            </w:pPr>
            <w:r w:rsidRPr="00700BC3">
              <w:t>Le paiement est l</w:t>
            </w:r>
            <w:r w:rsidR="00D0034C" w:rsidRPr="00700BC3">
              <w:t>’</w:t>
            </w:r>
            <w:r w:rsidRPr="00700BC3">
              <w:t xml:space="preserve">acte final qui libère l’École ou le Bureau du Secrétaire général de ses obligations envers ses créanciers. </w:t>
            </w:r>
          </w:p>
          <w:p w14:paraId="584DFB4C" w14:textId="77777777" w:rsidR="007D48C5" w:rsidRPr="00700BC3" w:rsidRDefault="00920EE0" w:rsidP="00ED4F09">
            <w:pPr>
              <w:pStyle w:val="ListParagraph"/>
              <w:numPr>
                <w:ilvl w:val="0"/>
                <w:numId w:val="81"/>
              </w:numPr>
            </w:pPr>
            <w:r w:rsidRPr="00700BC3">
              <w:t xml:space="preserve">Le paiement des dépenses est assuré par le comptable dans la limite des fonds disponibles. </w:t>
            </w:r>
          </w:p>
          <w:p w14:paraId="21837938" w14:textId="77777777" w:rsidR="007D48C5" w:rsidRPr="00700BC3" w:rsidRDefault="00FA4F9B" w:rsidP="00ED4F09">
            <w:pPr>
              <w:pStyle w:val="ListParagraph"/>
              <w:numPr>
                <w:ilvl w:val="0"/>
                <w:numId w:val="81"/>
              </w:numPr>
            </w:pPr>
            <w:r w:rsidRPr="00700BC3">
              <w:t>Les paiements s</w:t>
            </w:r>
            <w:r w:rsidR="00D0034C" w:rsidRPr="00700BC3">
              <w:t>’</w:t>
            </w:r>
            <w:r w:rsidRPr="00700BC3">
              <w:t>effectuent en principe par l</w:t>
            </w:r>
            <w:r w:rsidR="00D0034C" w:rsidRPr="00700BC3">
              <w:t>’</w:t>
            </w:r>
            <w:r w:rsidRPr="00700BC3">
              <w:t>intermédiaire d</w:t>
            </w:r>
            <w:r w:rsidR="00D0034C" w:rsidRPr="00700BC3">
              <w:t>’</w:t>
            </w:r>
            <w:r w:rsidRPr="00700BC3">
              <w:t>un compte bancaire et par la voie électronique. Les paiements/remboursements en liquide ne peuvent être autorisés qu’à titre exceptionnel, sous réserve des conditions fixées dans un mémorandum spécifique émanant du Secrétaire général.</w:t>
            </w:r>
          </w:p>
          <w:p w14:paraId="71773AFB" w14:textId="77777777" w:rsidR="007D48C5" w:rsidRPr="00700BC3" w:rsidRDefault="00101A74" w:rsidP="00ED4F09">
            <w:pPr>
              <w:pStyle w:val="ListParagraph"/>
              <w:numPr>
                <w:ilvl w:val="0"/>
                <w:numId w:val="81"/>
              </w:numPr>
            </w:pPr>
            <w:r w:rsidRPr="00700BC3">
              <w:lastRenderedPageBreak/>
              <w:t>Les paiements portent la signature des ordres de virement bancaire par deux agents dûment habilités, dont nécessairement celle du comptable</w:t>
            </w:r>
            <w:r w:rsidRPr="00700BC3">
              <w:rPr>
                <w:rStyle w:val="Corpsdutexte"/>
                <w:rFonts w:ascii="Times New Roman" w:hAnsi="Times New Roman" w:cs="Times New Roman"/>
                <w:sz w:val="24"/>
                <w:szCs w:val="24"/>
              </w:rPr>
              <w:t xml:space="preserve"> </w:t>
            </w:r>
            <w:r w:rsidRPr="00700BC3">
              <w:t>ou d</w:t>
            </w:r>
            <w:r w:rsidR="00D0034C" w:rsidRPr="00700BC3">
              <w:t>’</w:t>
            </w:r>
            <w:r w:rsidRPr="00700BC3">
              <w:t>un régisseur d</w:t>
            </w:r>
            <w:r w:rsidR="00D0034C" w:rsidRPr="00700BC3">
              <w:t>’</w:t>
            </w:r>
            <w:r w:rsidRPr="00700BC3">
              <w:t xml:space="preserve">avances. </w:t>
            </w:r>
          </w:p>
          <w:p w14:paraId="2AE2F271" w14:textId="77777777" w:rsidR="007D48C5" w:rsidRPr="00700BC3" w:rsidRDefault="00101A74" w:rsidP="00ED4F09">
            <w:pPr>
              <w:pStyle w:val="ListParagraph"/>
              <w:numPr>
                <w:ilvl w:val="0"/>
                <w:numId w:val="81"/>
              </w:numPr>
            </w:pPr>
            <w:r w:rsidRPr="00700BC3">
              <w:t>Par dérogation à la règle prévue au paragraphe 4, au cas où un lien performant est établi entre le logiciel comptable et les systèmes électroniques de paiements bancaires, les paiements peuvent être exécutés à l</w:t>
            </w:r>
            <w:r w:rsidR="00D0034C" w:rsidRPr="00700BC3">
              <w:t>’</w:t>
            </w:r>
            <w:r w:rsidRPr="00700BC3">
              <w:t>aide de l</w:t>
            </w:r>
            <w:r w:rsidR="007D48C5" w:rsidRPr="00700BC3">
              <w:t>a seule signature du comptable.</w:t>
            </w:r>
          </w:p>
          <w:p w14:paraId="54232848" w14:textId="58C223C4" w:rsidR="004318CE" w:rsidRPr="00700BC3" w:rsidRDefault="004318CE" w:rsidP="00ED4F09">
            <w:pPr>
              <w:pStyle w:val="ListParagraph"/>
              <w:numPr>
                <w:ilvl w:val="0"/>
                <w:numId w:val="81"/>
              </w:numPr>
            </w:pPr>
            <w:r w:rsidRPr="00700BC3">
              <w:t>Les Écoles et le Bureau du Secrétaire général communiquent à tous les organismes financiers auprès desquels des comptes ont été ouverts les noms et les spécimens des signatures des agents désignés par eux et habilités à viser l</w:t>
            </w:r>
            <w:r w:rsidR="00D0034C" w:rsidRPr="00700BC3">
              <w:t>’</w:t>
            </w:r>
            <w:r w:rsidRPr="00700BC3">
              <w:t>exécution des paiements effectués à partir desdits comptes, ainsi que le montant limite éventuel des paiements autorisés pour chaque agent habilité.</w:t>
            </w:r>
          </w:p>
          <w:p w14:paraId="63CD2DCB" w14:textId="66D7BAFD" w:rsidR="00353653" w:rsidRPr="00834834" w:rsidRDefault="0058549C" w:rsidP="007673A5">
            <w:pPr>
              <w:pStyle w:val="Subtitle"/>
              <w:rPr>
                <w:lang w:val="fr-BE"/>
              </w:rPr>
            </w:pPr>
            <w:r w:rsidRPr="00834834">
              <w:rPr>
                <w:lang w:val="fr-BE"/>
              </w:rPr>
              <w:t>Article</w:t>
            </w:r>
            <w:r w:rsidR="00D0034C" w:rsidRPr="00834834">
              <w:rPr>
                <w:lang w:val="fr-BE"/>
              </w:rPr>
              <w:t> </w:t>
            </w:r>
            <w:r w:rsidRPr="00834834">
              <w:rPr>
                <w:lang w:val="fr-BE"/>
              </w:rPr>
              <w:t>63</w:t>
            </w:r>
          </w:p>
          <w:p w14:paraId="5162A434" w14:textId="77777777" w:rsidR="006C4CA7" w:rsidRPr="00834834" w:rsidRDefault="006C4CA7" w:rsidP="007673A5">
            <w:pPr>
              <w:pStyle w:val="Subtitle"/>
              <w:rPr>
                <w:lang w:val="fr-BE"/>
              </w:rPr>
            </w:pPr>
            <w:r w:rsidRPr="00834834">
              <w:rPr>
                <w:lang w:val="fr-BE"/>
              </w:rPr>
              <w:t>Suspension des paiements</w:t>
            </w:r>
          </w:p>
          <w:p w14:paraId="50424877" w14:textId="6FD1C94E" w:rsidR="00CA2900" w:rsidRPr="00834834" w:rsidRDefault="00CA2900" w:rsidP="00ED4F09">
            <w:pPr>
              <w:pStyle w:val="ListParagraph"/>
              <w:numPr>
                <w:ilvl w:val="0"/>
                <w:numId w:val="82"/>
              </w:numPr>
            </w:pPr>
            <w:r w:rsidRPr="00834834">
              <w:t>En cas d</w:t>
            </w:r>
            <w:r w:rsidR="00D0034C" w:rsidRPr="00834834">
              <w:t>’</w:t>
            </w:r>
            <w:r w:rsidRPr="00834834">
              <w:t>erreur matérielle, de contestation relative à la validité de l</w:t>
            </w:r>
            <w:r w:rsidR="00D0034C" w:rsidRPr="00834834">
              <w:t>’</w:t>
            </w:r>
            <w:r w:rsidRPr="00834834">
              <w:t>acquit libératoire ou d</w:t>
            </w:r>
            <w:r w:rsidR="00D0034C" w:rsidRPr="00834834">
              <w:t>’</w:t>
            </w:r>
            <w:r w:rsidRPr="00834834">
              <w:t>inobservation des formes prescrites par le présent Règlement financier, le comptable doit suspendre les délais de paiement. Le créancier concerné est informé par écrit des motifs de la suspension.</w:t>
            </w:r>
          </w:p>
          <w:p w14:paraId="19E2D473" w14:textId="7F3D8EB3" w:rsidR="0058549C" w:rsidRPr="00834834" w:rsidRDefault="0058549C" w:rsidP="00ED4F09">
            <w:pPr>
              <w:pStyle w:val="ListParagraph"/>
              <w:numPr>
                <w:ilvl w:val="0"/>
                <w:numId w:val="82"/>
              </w:numPr>
            </w:pPr>
            <w:r w:rsidRPr="00834834">
              <w:t>En cas de suspension d</w:t>
            </w:r>
            <w:r w:rsidR="00D0034C" w:rsidRPr="00834834">
              <w:t>’</w:t>
            </w:r>
            <w:r w:rsidRPr="00834834">
              <w:t>un paiement,</w:t>
            </w:r>
            <w:r w:rsidRPr="00834834">
              <w:rPr>
                <w:bCs/>
              </w:rPr>
              <w:t xml:space="preserve"> le ou la</w:t>
            </w:r>
            <w:r w:rsidRPr="00834834">
              <w:t xml:space="preserve"> comptable énonce les motifs de cette suspension dans une déclaration écrite qu</w:t>
            </w:r>
            <w:r w:rsidR="00D0034C" w:rsidRPr="00834834">
              <w:t>’</w:t>
            </w:r>
            <w:r w:rsidRPr="00834834">
              <w:t>il ou elle adresse immédiatement à l</w:t>
            </w:r>
            <w:r w:rsidR="00D0034C" w:rsidRPr="00834834">
              <w:t>’</w:t>
            </w:r>
            <w:r w:rsidRPr="00834834">
              <w:t>ordonnateur responsable.</w:t>
            </w:r>
          </w:p>
          <w:p w14:paraId="2DFD03BD" w14:textId="4393F3F2" w:rsidR="004A2404" w:rsidRPr="00834834" w:rsidRDefault="0058549C" w:rsidP="00ED4F09">
            <w:pPr>
              <w:pStyle w:val="ListParagraph"/>
              <w:numPr>
                <w:ilvl w:val="0"/>
                <w:numId w:val="82"/>
              </w:numPr>
            </w:pPr>
            <w:r w:rsidRPr="00834834">
              <w:t>Sauf en ce qui concerne les contestations relatives à la validité de l</w:t>
            </w:r>
            <w:r w:rsidR="00D0034C" w:rsidRPr="00834834">
              <w:t>’</w:t>
            </w:r>
            <w:r w:rsidRPr="00834834">
              <w:t xml:space="preserve">acquit libératoire, </w:t>
            </w:r>
            <w:r w:rsidRPr="00834834">
              <w:rPr>
                <w:bCs/>
              </w:rPr>
              <w:t>l</w:t>
            </w:r>
            <w:r w:rsidR="00D0034C" w:rsidRPr="00834834">
              <w:rPr>
                <w:bCs/>
              </w:rPr>
              <w:t>’</w:t>
            </w:r>
            <w:r w:rsidRPr="00834834">
              <w:rPr>
                <w:bCs/>
              </w:rPr>
              <w:t>ordonnateur responsable</w:t>
            </w:r>
            <w:r w:rsidRPr="00834834">
              <w:t xml:space="preserve"> peut saisir le Conseil d</w:t>
            </w:r>
            <w:r w:rsidR="00D0034C" w:rsidRPr="00834834">
              <w:t>’</w:t>
            </w:r>
            <w:r w:rsidRPr="00834834">
              <w:t>Administration et/ou le Secrétaire général. Cette autorité peut requérir, par écrit, sous sa responsabilité propre, qu</w:t>
            </w:r>
            <w:r w:rsidR="00D0034C" w:rsidRPr="00834834">
              <w:t>’</w:t>
            </w:r>
            <w:r w:rsidRPr="00834834">
              <w:t>il soit procédé au paiement.</w:t>
            </w:r>
          </w:p>
          <w:p w14:paraId="5E8539D5" w14:textId="3885248B" w:rsidR="00353653"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64</w:t>
            </w:r>
          </w:p>
          <w:p w14:paraId="380887DB" w14:textId="30F0DCD5" w:rsidR="004A2404" w:rsidRPr="00834834" w:rsidRDefault="004A2404" w:rsidP="007673A5">
            <w:pPr>
              <w:pStyle w:val="Subtitle"/>
              <w:rPr>
                <w:lang w:val="fr-BE"/>
              </w:rPr>
            </w:pPr>
            <w:r w:rsidRPr="00834834">
              <w:rPr>
                <w:lang w:val="fr-BE"/>
              </w:rPr>
              <w:t>Régies d</w:t>
            </w:r>
            <w:r w:rsidR="00D0034C" w:rsidRPr="00834834">
              <w:rPr>
                <w:lang w:val="fr-BE"/>
              </w:rPr>
              <w:t>’</w:t>
            </w:r>
            <w:r w:rsidRPr="00834834">
              <w:rPr>
                <w:lang w:val="fr-BE"/>
              </w:rPr>
              <w:t>avances</w:t>
            </w:r>
          </w:p>
          <w:p w14:paraId="7CB6D9D0" w14:textId="77777777" w:rsidR="007D48C5" w:rsidRPr="00700BC3" w:rsidRDefault="004A2404" w:rsidP="00ED4F09">
            <w:pPr>
              <w:pStyle w:val="ListParagraph"/>
              <w:numPr>
                <w:ilvl w:val="0"/>
                <w:numId w:val="83"/>
              </w:numPr>
            </w:pPr>
            <w:r w:rsidRPr="00700BC3">
              <w:t>En vue du paiement de certaines catégories de dépenses, des régies d</w:t>
            </w:r>
            <w:r w:rsidR="00D0034C" w:rsidRPr="00700BC3">
              <w:t>’</w:t>
            </w:r>
            <w:r w:rsidRPr="00700BC3">
              <w:t>avances peuvent être créées. Le montant maximal pouvant être versé par le régisseur d</w:t>
            </w:r>
            <w:r w:rsidR="00D0034C" w:rsidRPr="00700BC3">
              <w:t>’</w:t>
            </w:r>
            <w:r w:rsidRPr="00700BC3">
              <w:t xml:space="preserve">avances ne dépasse pas 60 000 euros pour chaque dépense. </w:t>
            </w:r>
          </w:p>
          <w:p w14:paraId="437D9C55" w14:textId="77777777" w:rsidR="007D48C5" w:rsidRPr="00700BC3" w:rsidRDefault="00590516" w:rsidP="00ED4F09">
            <w:pPr>
              <w:pStyle w:val="ListParagraph"/>
              <w:numPr>
                <w:ilvl w:val="0"/>
                <w:numId w:val="83"/>
              </w:numPr>
            </w:pPr>
            <w:r w:rsidRPr="00700BC3">
              <w:t>La création des régies d</w:t>
            </w:r>
            <w:r w:rsidR="00D0034C" w:rsidRPr="00700BC3">
              <w:t>’</w:t>
            </w:r>
            <w:r w:rsidRPr="00700BC3">
              <w:t>avances fait l</w:t>
            </w:r>
            <w:r w:rsidR="00D0034C" w:rsidRPr="00700BC3">
              <w:t>’</w:t>
            </w:r>
            <w:r w:rsidRPr="00700BC3">
              <w:t>objet d</w:t>
            </w:r>
            <w:r w:rsidR="00D0034C" w:rsidRPr="00700BC3">
              <w:t>’</w:t>
            </w:r>
            <w:r w:rsidRPr="00700BC3">
              <w:t>une décision du comptable des Écoles européennes, sur proposition de l</w:t>
            </w:r>
            <w:r w:rsidR="00D0034C" w:rsidRPr="00700BC3">
              <w:t>’</w:t>
            </w:r>
            <w:r w:rsidRPr="00700BC3">
              <w:t>ordonnateur responsable.</w:t>
            </w:r>
          </w:p>
          <w:p w14:paraId="56D91A71" w14:textId="77777777" w:rsidR="007D48C5" w:rsidRPr="00700BC3" w:rsidRDefault="00590516" w:rsidP="00ED4F09">
            <w:pPr>
              <w:pStyle w:val="ListParagraph"/>
              <w:numPr>
                <w:ilvl w:val="0"/>
                <w:numId w:val="83"/>
              </w:numPr>
            </w:pPr>
            <w:r w:rsidRPr="00700BC3">
              <w:t>La désignation d</w:t>
            </w:r>
            <w:r w:rsidR="00D0034C" w:rsidRPr="00700BC3">
              <w:t>’</w:t>
            </w:r>
            <w:r w:rsidRPr="00700BC3">
              <w:t>un régisseur d</w:t>
            </w:r>
            <w:r w:rsidR="00D0034C" w:rsidRPr="00700BC3">
              <w:t>’</w:t>
            </w:r>
            <w:r w:rsidRPr="00700BC3">
              <w:t>avances fait l</w:t>
            </w:r>
            <w:r w:rsidR="00D0034C" w:rsidRPr="00700BC3">
              <w:t>’</w:t>
            </w:r>
            <w:r w:rsidRPr="00700BC3">
              <w:t>objet d</w:t>
            </w:r>
            <w:r w:rsidR="00D0034C" w:rsidRPr="00700BC3">
              <w:t>’</w:t>
            </w:r>
            <w:r w:rsidRPr="00700BC3">
              <w:t>une décision du comptable des Écoles européennes, sur proposition de l</w:t>
            </w:r>
            <w:r w:rsidR="00D0034C" w:rsidRPr="00700BC3">
              <w:t>’</w:t>
            </w:r>
            <w:r w:rsidRPr="00700BC3">
              <w:t>ordonnateur responsable. Dans le cadre défini par le présent Règlement, la décision relative à sa désignation rappelle les responsabilités du régisseur d</w:t>
            </w:r>
            <w:r w:rsidR="00D0034C" w:rsidRPr="00700BC3">
              <w:t>’</w:t>
            </w:r>
            <w:r w:rsidRPr="00700BC3">
              <w:t>avances.</w:t>
            </w:r>
          </w:p>
          <w:p w14:paraId="21C5BB93" w14:textId="00123DCA" w:rsidR="00126E80" w:rsidRPr="00700BC3" w:rsidRDefault="00F7104E" w:rsidP="00ED4F09">
            <w:pPr>
              <w:pStyle w:val="ListParagraph"/>
              <w:numPr>
                <w:ilvl w:val="0"/>
                <w:numId w:val="83"/>
              </w:numPr>
            </w:pPr>
            <w:r w:rsidRPr="00700BC3">
              <w:rPr>
                <w:bCs/>
              </w:rPr>
              <w:t>Sans préjudice du paragraphe</w:t>
            </w:r>
            <w:r w:rsidR="00D0034C" w:rsidRPr="00700BC3">
              <w:rPr>
                <w:bCs/>
              </w:rPr>
              <w:t> </w:t>
            </w:r>
            <w:r w:rsidRPr="00700BC3">
              <w:rPr>
                <w:bCs/>
              </w:rPr>
              <w:t>1, la décision portant création d</w:t>
            </w:r>
            <w:r w:rsidR="00D0034C" w:rsidRPr="00700BC3">
              <w:rPr>
                <w:bCs/>
              </w:rPr>
              <w:t>’</w:t>
            </w:r>
            <w:r w:rsidRPr="00700BC3">
              <w:rPr>
                <w:bCs/>
              </w:rPr>
              <w:t>une régie d</w:t>
            </w:r>
            <w:r w:rsidR="00D0034C" w:rsidRPr="00700BC3">
              <w:rPr>
                <w:bCs/>
              </w:rPr>
              <w:t>’</w:t>
            </w:r>
            <w:r w:rsidRPr="00700BC3">
              <w:rPr>
                <w:bCs/>
              </w:rPr>
              <w:t>avances détermine notamment :</w:t>
            </w:r>
          </w:p>
          <w:p w14:paraId="2C6A2DE2" w14:textId="77777777" w:rsidR="007D48C5" w:rsidRPr="00700BC3" w:rsidRDefault="00126E80" w:rsidP="00ED4F09">
            <w:pPr>
              <w:pStyle w:val="numbering2"/>
              <w:numPr>
                <w:ilvl w:val="0"/>
                <w:numId w:val="84"/>
              </w:numPr>
              <w:ind w:left="2153"/>
            </w:pPr>
            <w:proofErr w:type="gramStart"/>
            <w:r w:rsidRPr="00700BC3">
              <w:t>le</w:t>
            </w:r>
            <w:proofErr w:type="gramEnd"/>
            <w:r w:rsidRPr="00700BC3">
              <w:t xml:space="preserve"> montant maximal de l</w:t>
            </w:r>
            <w:r w:rsidR="00D0034C" w:rsidRPr="00700BC3">
              <w:t>’</w:t>
            </w:r>
            <w:r w:rsidRPr="00700BC3">
              <w:t>avance pouvant être consentie ;</w:t>
            </w:r>
          </w:p>
          <w:p w14:paraId="35ACA929" w14:textId="77777777" w:rsidR="007D48C5" w:rsidRPr="00700BC3" w:rsidRDefault="00D33502" w:rsidP="00ED4F09">
            <w:pPr>
              <w:pStyle w:val="numbering2"/>
              <w:numPr>
                <w:ilvl w:val="0"/>
                <w:numId w:val="84"/>
              </w:numPr>
              <w:ind w:left="2153"/>
              <w:rPr>
                <w:rStyle w:val="Corpsdutexte"/>
                <w:rFonts w:cs="Times New Roman"/>
                <w:sz w:val="22"/>
                <w:szCs w:val="20"/>
                <w:shd w:val="clear" w:color="auto" w:fill="auto"/>
              </w:rPr>
            </w:pPr>
            <w:proofErr w:type="gramStart"/>
            <w:r w:rsidRPr="00700BC3">
              <w:t>l</w:t>
            </w:r>
            <w:r w:rsidR="00D0034C" w:rsidRPr="00700BC3">
              <w:t>’</w:t>
            </w:r>
            <w:r w:rsidRPr="00700BC3">
              <w:t>ouverture</w:t>
            </w:r>
            <w:proofErr w:type="gramEnd"/>
            <w:r w:rsidRPr="00700BC3">
              <w:t xml:space="preserve">, </w:t>
            </w:r>
            <w:r w:rsidRPr="00700BC3">
              <w:rPr>
                <w:rStyle w:val="Corpsdutexte"/>
                <w:rFonts w:cs="Times New Roman"/>
                <w:sz w:val="22"/>
                <w:szCs w:val="20"/>
                <w:shd w:val="clear" w:color="auto" w:fill="auto"/>
              </w:rPr>
              <w:t>le cas échéant, d</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un compte bancaire au nom de 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École concernée ou du Bureau du Secrétaire général ;</w:t>
            </w:r>
          </w:p>
          <w:p w14:paraId="4C89DB05" w14:textId="77777777" w:rsidR="007D48C5" w:rsidRPr="00700BC3" w:rsidRDefault="00126E80" w:rsidP="00ED4F09">
            <w:pPr>
              <w:pStyle w:val="numbering2"/>
              <w:numPr>
                <w:ilvl w:val="0"/>
                <w:numId w:val="84"/>
              </w:numPr>
              <w:ind w:left="2153"/>
            </w:pPr>
            <w:proofErr w:type="gramStart"/>
            <w:r w:rsidRPr="00700BC3">
              <w:t>la</w:t>
            </w:r>
            <w:proofErr w:type="gramEnd"/>
            <w:r w:rsidRPr="00700BC3">
              <w:t xml:space="preserve"> nature et le montant maximal de chaque dépense pouvant être payée sans autorisation préalable ;</w:t>
            </w:r>
          </w:p>
          <w:p w14:paraId="68ADDDEE" w14:textId="77777777" w:rsidR="007D48C5" w:rsidRPr="00700BC3" w:rsidRDefault="00126E80" w:rsidP="00ED4F09">
            <w:pPr>
              <w:pStyle w:val="numbering2"/>
              <w:numPr>
                <w:ilvl w:val="0"/>
                <w:numId w:val="84"/>
              </w:numPr>
              <w:ind w:left="2153"/>
            </w:pPr>
            <w:proofErr w:type="gramStart"/>
            <w:r w:rsidRPr="00700BC3">
              <w:t>la</w:t>
            </w:r>
            <w:proofErr w:type="gramEnd"/>
            <w:r w:rsidRPr="00700BC3">
              <w:t xml:space="preserve"> périodicité et les modalités de production de pièces justificatives ;</w:t>
            </w:r>
          </w:p>
          <w:p w14:paraId="6ED85CC4" w14:textId="77777777" w:rsidR="007D48C5" w:rsidRPr="00700BC3" w:rsidRDefault="00126E80" w:rsidP="00ED4F09">
            <w:pPr>
              <w:pStyle w:val="numbering2"/>
              <w:numPr>
                <w:ilvl w:val="0"/>
                <w:numId w:val="84"/>
              </w:numPr>
              <w:ind w:left="2153"/>
            </w:pPr>
            <w:proofErr w:type="gramStart"/>
            <w:r w:rsidRPr="00700BC3">
              <w:t>les</w:t>
            </w:r>
            <w:proofErr w:type="gramEnd"/>
            <w:r w:rsidRPr="00700BC3">
              <w:t xml:space="preserve"> modalités de reconstitution éventuelle de l</w:t>
            </w:r>
            <w:r w:rsidR="00D0034C" w:rsidRPr="00700BC3">
              <w:t>’</w:t>
            </w:r>
            <w:r w:rsidRPr="00700BC3">
              <w:t>avance ;</w:t>
            </w:r>
          </w:p>
          <w:p w14:paraId="5BE1E663" w14:textId="44F10EFA" w:rsidR="00126E80" w:rsidRPr="00700BC3" w:rsidRDefault="00126E80" w:rsidP="00ED4F09">
            <w:pPr>
              <w:pStyle w:val="numbering2"/>
              <w:numPr>
                <w:ilvl w:val="0"/>
                <w:numId w:val="84"/>
              </w:numPr>
              <w:ind w:left="2153"/>
            </w:pPr>
            <w:proofErr w:type="gramStart"/>
            <w:r w:rsidRPr="00700BC3">
              <w:t>le</w:t>
            </w:r>
            <w:proofErr w:type="gramEnd"/>
            <w:r w:rsidRPr="00700BC3">
              <w:t xml:space="preserve"> délai dans lequel les opérations de la régie d</w:t>
            </w:r>
            <w:r w:rsidR="00D0034C" w:rsidRPr="00700BC3">
              <w:t>’</w:t>
            </w:r>
            <w:r w:rsidRPr="00700BC3">
              <w:t>avances doivent être régularisées.</w:t>
            </w:r>
          </w:p>
          <w:p w14:paraId="2385FC3B" w14:textId="77777777" w:rsidR="007D48C5" w:rsidRPr="003F454C" w:rsidRDefault="00126E80" w:rsidP="001D4AA7">
            <w:pPr>
              <w:rPr>
                <w:rStyle w:val="Corpsdutexte"/>
                <w:rFonts w:cs="Times New Roman"/>
                <w:sz w:val="22"/>
                <w:szCs w:val="20"/>
                <w:shd w:val="clear" w:color="auto" w:fill="auto"/>
                <w:lang w:val="fr-BE"/>
              </w:rPr>
            </w:pPr>
            <w:r w:rsidRPr="003F454C">
              <w:rPr>
                <w:lang w:val="fr-BE"/>
              </w:rPr>
              <w:lastRenderedPageBreak/>
              <w:t xml:space="preserve">Les paiements </w:t>
            </w:r>
            <w:r w:rsidRPr="003F454C">
              <w:rPr>
                <w:rStyle w:val="Corpsdutexte"/>
                <w:rFonts w:cs="Times New Roman"/>
                <w:sz w:val="22"/>
                <w:szCs w:val="20"/>
                <w:shd w:val="clear" w:color="auto" w:fill="auto"/>
                <w:lang w:val="fr-BE"/>
              </w:rPr>
              <w:t>ne peuvent être effectués que sur la base et dans la limite d</w:t>
            </w:r>
            <w:r w:rsidR="00D0034C" w:rsidRPr="003F454C">
              <w:rPr>
                <w:rStyle w:val="Corpsdutexte"/>
                <w:rFonts w:cs="Times New Roman"/>
                <w:sz w:val="22"/>
                <w:szCs w:val="20"/>
                <w:shd w:val="clear" w:color="auto" w:fill="auto"/>
                <w:lang w:val="fr-BE"/>
              </w:rPr>
              <w:t>’</w:t>
            </w:r>
            <w:r w:rsidRPr="003F454C">
              <w:rPr>
                <w:rStyle w:val="Corpsdutexte"/>
                <w:rFonts w:cs="Times New Roman"/>
                <w:sz w:val="22"/>
                <w:szCs w:val="20"/>
                <w:shd w:val="clear" w:color="auto" w:fill="auto"/>
                <w:lang w:val="fr-BE"/>
              </w:rPr>
              <w:t>engagements préalables, approuvés par l</w:t>
            </w:r>
            <w:r w:rsidR="00D0034C" w:rsidRPr="003F454C">
              <w:rPr>
                <w:rStyle w:val="Corpsdutexte"/>
                <w:rFonts w:cs="Times New Roman"/>
                <w:sz w:val="22"/>
                <w:szCs w:val="20"/>
                <w:shd w:val="clear" w:color="auto" w:fill="auto"/>
                <w:lang w:val="fr-BE"/>
              </w:rPr>
              <w:t>’</w:t>
            </w:r>
            <w:r w:rsidRPr="003F454C">
              <w:rPr>
                <w:rStyle w:val="Corpsdutexte"/>
                <w:rFonts w:cs="Times New Roman"/>
                <w:sz w:val="22"/>
                <w:szCs w:val="20"/>
                <w:shd w:val="clear" w:color="auto" w:fill="auto"/>
                <w:lang w:val="fr-BE"/>
              </w:rPr>
              <w:t>ordonnateur responsable.</w:t>
            </w:r>
          </w:p>
          <w:p w14:paraId="15E9D34E" w14:textId="46F30EA9" w:rsidR="00B039AC" w:rsidRPr="00700BC3" w:rsidRDefault="00B039AC" w:rsidP="00ED4F09">
            <w:pPr>
              <w:pStyle w:val="ListParagraph"/>
              <w:numPr>
                <w:ilvl w:val="0"/>
                <w:numId w:val="83"/>
              </w:numPr>
            </w:pPr>
            <w:r w:rsidRPr="00700BC3">
              <w:t>Chaque régisseur d</w:t>
            </w:r>
            <w:r w:rsidR="00D0034C" w:rsidRPr="00700BC3">
              <w:t>’</w:t>
            </w:r>
            <w:r w:rsidRPr="00700BC3">
              <w:t>avances est responsable vis-à-vis de l</w:t>
            </w:r>
            <w:r w:rsidR="00D0034C" w:rsidRPr="00700BC3">
              <w:t>’</w:t>
            </w:r>
            <w:r w:rsidRPr="00700BC3">
              <w:t>ordonnateur de la mise en paiement des dettes à l</w:t>
            </w:r>
            <w:r w:rsidR="00D0034C" w:rsidRPr="00700BC3">
              <w:t>’</w:t>
            </w:r>
            <w:r w:rsidRPr="00700BC3">
              <w:t>égard de tiers et, vis-à-vis du comptable, de l</w:t>
            </w:r>
            <w:r w:rsidR="00D0034C" w:rsidRPr="00700BC3">
              <w:t>’</w:t>
            </w:r>
            <w:r w:rsidRPr="00700BC3">
              <w:t>exécution des paiements.</w:t>
            </w:r>
          </w:p>
          <w:p w14:paraId="0FA9A1A1" w14:textId="77777777" w:rsidR="007D48C5" w:rsidRPr="00834834" w:rsidRDefault="00B039AC" w:rsidP="00700BC3">
            <w:pPr>
              <w:pStyle w:val="ListParagraph"/>
              <w:ind w:left="1117"/>
            </w:pPr>
            <w:r w:rsidRPr="00834834">
              <w:t>Il tient une comptabilité des fonds dont il dispose et des dépenses effectuées, selon les instructions du comptable, et prend toutes les dispositions utiles pour garantir les fonds mis à sa disposition.</w:t>
            </w:r>
          </w:p>
          <w:p w14:paraId="646F0C71" w14:textId="77777777" w:rsidR="007D48C5" w:rsidRPr="00834834" w:rsidRDefault="004A2404" w:rsidP="001D4AA7">
            <w:pPr>
              <w:pStyle w:val="ListParagraph"/>
              <w:numPr>
                <w:ilvl w:val="0"/>
                <w:numId w:val="83"/>
              </w:numPr>
              <w:rPr>
                <w:szCs w:val="22"/>
              </w:rPr>
            </w:pPr>
            <w:r w:rsidRPr="00834834">
              <w:t>Seul le comptable peut alimenter les régies d</w:t>
            </w:r>
            <w:r w:rsidR="00D0034C" w:rsidRPr="00834834">
              <w:t>’</w:t>
            </w:r>
            <w:r w:rsidRPr="00834834">
              <w:t>avances.</w:t>
            </w:r>
          </w:p>
          <w:p w14:paraId="1D9D0797" w14:textId="10B0A9CE" w:rsidR="00AE0C57" w:rsidRPr="00700BC3" w:rsidRDefault="00AE0C57" w:rsidP="001D4AA7">
            <w:pPr>
              <w:pStyle w:val="ListParagraph"/>
              <w:numPr>
                <w:ilvl w:val="0"/>
                <w:numId w:val="83"/>
              </w:numPr>
              <w:rPr>
                <w:rStyle w:val="Corpsdutexte"/>
                <w:rFonts w:cs="Times New Roman"/>
                <w:sz w:val="22"/>
                <w:szCs w:val="20"/>
                <w:shd w:val="clear" w:color="auto" w:fill="auto"/>
              </w:rPr>
            </w:pPr>
            <w:r w:rsidRPr="00700BC3">
              <w:rPr>
                <w:rStyle w:val="Corpsdutexte"/>
                <w:rFonts w:cs="Times New Roman"/>
                <w:sz w:val="22"/>
                <w:szCs w:val="20"/>
                <w:shd w:val="clear" w:color="auto" w:fill="auto"/>
              </w:rPr>
              <w:t xml:space="preserve">Sans préjudice des autres contrôles éventuels effectués sur la base du présent </w:t>
            </w:r>
            <w:r w:rsidRPr="00700BC3">
              <w:t>Règlement</w:t>
            </w:r>
            <w:r w:rsidRPr="00700BC3">
              <w:rPr>
                <w:rStyle w:val="Corpsdutexte"/>
                <w:rFonts w:cs="Times New Roman"/>
                <w:sz w:val="22"/>
                <w:szCs w:val="20"/>
                <w:shd w:val="clear" w:color="auto" w:fill="auto"/>
              </w:rPr>
              <w:t>, le comptable doit procéder lui-même ou faire procéder sous sa responsabilité, en règle générale sur place, d</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une manière inopinée, à la vérification de l</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existence des fonds confiés aux régisseurs d</w:t>
            </w:r>
            <w:r w:rsidR="00D0034C" w:rsidRPr="00700BC3">
              <w:rPr>
                <w:rStyle w:val="Corpsdutexte"/>
                <w:rFonts w:cs="Times New Roman"/>
                <w:sz w:val="22"/>
                <w:szCs w:val="20"/>
                <w:shd w:val="clear" w:color="auto" w:fill="auto"/>
              </w:rPr>
              <w:t>’</w:t>
            </w:r>
            <w:r w:rsidRPr="00700BC3">
              <w:rPr>
                <w:rStyle w:val="Corpsdutexte"/>
                <w:rFonts w:cs="Times New Roman"/>
                <w:sz w:val="22"/>
                <w:szCs w:val="20"/>
                <w:shd w:val="clear" w:color="auto" w:fill="auto"/>
              </w:rPr>
              <w:t>avances et à la vérification de la tenue de la comptabilité.</w:t>
            </w:r>
          </w:p>
          <w:p w14:paraId="21CA78C7" w14:textId="213021A0" w:rsidR="00AE0C57" w:rsidRPr="00700BC3" w:rsidRDefault="00AE0C57" w:rsidP="00700BC3">
            <w:pPr>
              <w:pStyle w:val="ListParagraph"/>
              <w:ind w:left="1117"/>
            </w:pPr>
            <w:r w:rsidRPr="00834834">
              <w:t>Le comptable informe l’ordonnateur des résultats de ses vérifications.</w:t>
            </w:r>
          </w:p>
          <w:p w14:paraId="6F883D9C" w14:textId="09B5DB79" w:rsidR="004A2404" w:rsidRPr="00834834" w:rsidRDefault="004A2404" w:rsidP="004732A8">
            <w:pPr>
              <w:pStyle w:val="Heading2"/>
            </w:pPr>
            <w:r w:rsidRPr="00834834">
              <w:t>SECTION VI</w:t>
            </w:r>
          </w:p>
          <w:p w14:paraId="58B08946" w14:textId="77777777" w:rsidR="006D3B43" w:rsidRPr="00834834" w:rsidRDefault="006D3B43" w:rsidP="004732A8">
            <w:pPr>
              <w:pStyle w:val="Heading2"/>
            </w:pPr>
            <w:r w:rsidRPr="00834834">
              <w:t>GESTION DES EMPLOIS</w:t>
            </w:r>
          </w:p>
          <w:p w14:paraId="078F2929" w14:textId="437B604D" w:rsidR="004A2404"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65</w:t>
            </w:r>
          </w:p>
          <w:p w14:paraId="1A2ABE7F" w14:textId="77777777" w:rsidR="00474F3D" w:rsidRPr="00834834" w:rsidRDefault="00474F3D" w:rsidP="007673A5">
            <w:pPr>
              <w:pStyle w:val="Subtitle"/>
              <w:rPr>
                <w:lang w:val="fr-BE"/>
              </w:rPr>
            </w:pPr>
            <w:r w:rsidRPr="00834834">
              <w:rPr>
                <w:lang w:val="fr-BE"/>
              </w:rPr>
              <w:t>Tableau des effectifs</w:t>
            </w:r>
          </w:p>
          <w:p w14:paraId="74DAD53E" w14:textId="77777777" w:rsidR="004A2404" w:rsidRPr="00834834" w:rsidRDefault="004A2404" w:rsidP="004732A8">
            <w:pPr>
              <w:rPr>
                <w:lang w:val="fr-BE"/>
              </w:rPr>
            </w:pPr>
            <w:r w:rsidRPr="00834834">
              <w:rPr>
                <w:lang w:val="fr-BE"/>
              </w:rPr>
              <w:t>Il est établi au sein de chaque École et du Bureau du Secrétaire général :</w:t>
            </w:r>
          </w:p>
          <w:p w14:paraId="19546B2D" w14:textId="77777777" w:rsidR="00F66D25" w:rsidRPr="004732A8" w:rsidRDefault="004A2404" w:rsidP="00ED4F09">
            <w:pPr>
              <w:pStyle w:val="numbering2"/>
              <w:numPr>
                <w:ilvl w:val="0"/>
                <w:numId w:val="86"/>
              </w:numPr>
              <w:ind w:left="2153"/>
            </w:pPr>
            <w:proofErr w:type="gramStart"/>
            <w:r w:rsidRPr="004732A8">
              <w:t>un</w:t>
            </w:r>
            <w:proofErr w:type="gramEnd"/>
            <w:r w:rsidRPr="004732A8">
              <w:t xml:space="preserve"> tableau des effectifs ;</w:t>
            </w:r>
          </w:p>
          <w:p w14:paraId="77BAD97E" w14:textId="4D1E2A95" w:rsidR="004A2404" w:rsidRPr="004732A8" w:rsidRDefault="004A2404" w:rsidP="00ED4F09">
            <w:pPr>
              <w:pStyle w:val="numbering2"/>
              <w:numPr>
                <w:ilvl w:val="0"/>
                <w:numId w:val="86"/>
              </w:numPr>
              <w:ind w:left="2153"/>
            </w:pPr>
            <w:proofErr w:type="gramStart"/>
            <w:r w:rsidRPr="004732A8">
              <w:t>un</w:t>
            </w:r>
            <w:proofErr w:type="gramEnd"/>
            <w:r w:rsidRPr="004732A8">
              <w:t xml:space="preserve"> organigramme avec plan d</w:t>
            </w:r>
            <w:r w:rsidR="00D0034C" w:rsidRPr="004732A8">
              <w:t>’</w:t>
            </w:r>
            <w:r w:rsidRPr="004732A8">
              <w:t>organisation des services.</w:t>
            </w:r>
          </w:p>
          <w:p w14:paraId="6022E0B4" w14:textId="10F0F268" w:rsidR="004A2404" w:rsidRPr="00834834" w:rsidRDefault="004A2404" w:rsidP="004732A8">
            <w:pPr>
              <w:pStyle w:val="Heading1"/>
            </w:pPr>
            <w:r w:rsidRPr="00834834">
              <w:t>TITRE</w:t>
            </w:r>
            <w:r w:rsidR="00D0034C" w:rsidRPr="00834834">
              <w:t> </w:t>
            </w:r>
            <w:r w:rsidRPr="00834834">
              <w:t>IV</w:t>
            </w:r>
          </w:p>
          <w:p w14:paraId="35135326" w14:textId="77777777" w:rsidR="004A2404" w:rsidRPr="00834834" w:rsidRDefault="004A2404" w:rsidP="004732A8">
            <w:pPr>
              <w:pStyle w:val="Heading1"/>
              <w:rPr>
                <w:strike/>
              </w:rPr>
            </w:pPr>
            <w:r w:rsidRPr="00834834">
              <w:t>LA PASSATION DES MARCHÉS PUBLICS</w:t>
            </w:r>
          </w:p>
          <w:p w14:paraId="0FEB8AA0" w14:textId="1DED1A13" w:rsidR="00AB6FBA"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66</w:t>
            </w:r>
          </w:p>
          <w:p w14:paraId="5C28DCE2" w14:textId="1D6B6E67" w:rsidR="00FB2854" w:rsidRPr="00834834" w:rsidRDefault="00047510" w:rsidP="007673A5">
            <w:pPr>
              <w:pStyle w:val="Subtitle"/>
              <w:rPr>
                <w:lang w:val="fr-BE"/>
              </w:rPr>
            </w:pPr>
            <w:r w:rsidRPr="00834834">
              <w:rPr>
                <w:lang w:val="fr-BE"/>
              </w:rPr>
              <w:t>Dispositions générales</w:t>
            </w:r>
          </w:p>
          <w:p w14:paraId="3EC7C9E1" w14:textId="78C13426" w:rsidR="004A2223" w:rsidRPr="004732A8" w:rsidRDefault="004A2404" w:rsidP="00ED4F09">
            <w:pPr>
              <w:pStyle w:val="ListParagraph"/>
              <w:numPr>
                <w:ilvl w:val="0"/>
                <w:numId w:val="87"/>
              </w:numPr>
            </w:pPr>
            <w:r w:rsidRPr="004732A8">
              <w:t xml:space="preserve">En ce qui concerne la passation des marchés publics, le </w:t>
            </w:r>
            <w:r w:rsidR="004A2223" w:rsidRPr="004732A8">
              <w:t xml:space="preserve">Règlement (UE, Euratom) 2018/1046 du Parlement européen et du Conseil du 18 juillet 2018 sur les règles financières applicables au budget général de l’Union, ou le Règlement qui le remplace, s’applique aux paragraphes 2 à 5 de cet article. </w:t>
            </w:r>
          </w:p>
          <w:p w14:paraId="61070CC5" w14:textId="26FA7F75" w:rsidR="004A2404" w:rsidRPr="004732A8" w:rsidRDefault="004A2404" w:rsidP="00ED4F09">
            <w:pPr>
              <w:pStyle w:val="ListParagraph"/>
              <w:numPr>
                <w:ilvl w:val="0"/>
                <w:numId w:val="87"/>
              </w:numPr>
            </w:pPr>
            <w:r w:rsidRPr="004732A8">
              <w:t>Sont considérés comme pouvoirs adjudicateurs les Écoles et le Bureau du Secrétaire général.</w:t>
            </w:r>
          </w:p>
          <w:p w14:paraId="666FDE04" w14:textId="72F86379" w:rsidR="004A2223" w:rsidRPr="004732A8" w:rsidRDefault="004A2404" w:rsidP="00ED4F09">
            <w:pPr>
              <w:pStyle w:val="ListParagraph"/>
              <w:numPr>
                <w:ilvl w:val="0"/>
                <w:numId w:val="87"/>
              </w:numPr>
            </w:pPr>
            <w:r w:rsidRPr="004732A8">
              <w:t xml:space="preserve">À leur demande, les Écoles </w:t>
            </w:r>
            <w:r w:rsidRPr="004732A8">
              <w:rPr>
                <w:rFonts w:eastAsia="Calibri"/>
              </w:rPr>
              <w:t>européennes peuvent être associées, en tant que pouvoir adjudicateur, à l</w:t>
            </w:r>
            <w:r w:rsidR="00D0034C" w:rsidRPr="004732A8">
              <w:rPr>
                <w:rFonts w:eastAsia="Calibri"/>
              </w:rPr>
              <w:t>’</w:t>
            </w:r>
            <w:r w:rsidRPr="004732A8">
              <w:rPr>
                <w:rFonts w:eastAsia="Calibri"/>
              </w:rPr>
              <w:t xml:space="preserve">attribution de </w:t>
            </w:r>
            <w:r w:rsidR="004A2223" w:rsidRPr="004732A8">
              <w:rPr>
                <w:rFonts w:eastAsia="Calibri"/>
              </w:rPr>
              <w:t>marchés de la Commission ou interinstitutionnels de la Commission européenne, d’une institution de l’Union, d’une agence exécutive ou d’un organe de l’Union.</w:t>
            </w:r>
            <w:r w:rsidR="004A2223" w:rsidRPr="004732A8">
              <w:t xml:space="preserve"> </w:t>
            </w:r>
          </w:p>
          <w:p w14:paraId="2C12ECD6" w14:textId="77777777" w:rsidR="004A2223" w:rsidRPr="004732A8" w:rsidRDefault="004A2223" w:rsidP="00561DB2">
            <w:pPr>
              <w:pStyle w:val="ListParagraph"/>
              <w:ind w:left="1117"/>
              <w:rPr>
                <w:rFonts w:eastAsia="Calibri"/>
              </w:rPr>
            </w:pPr>
            <w:r w:rsidRPr="004732A8">
              <w:rPr>
                <w:rFonts w:eastAsia="Calibri"/>
              </w:rPr>
              <w:t>Aux fins du paragraphe 3, premier alinéa, l’article 165 du Règlement (UE, Euratom) 2018/1046, s’applique mutatis mutandis.</w:t>
            </w:r>
          </w:p>
          <w:p w14:paraId="01712A69" w14:textId="3E0D0D19" w:rsidR="00047510" w:rsidRPr="004732A8" w:rsidRDefault="004A2404" w:rsidP="00ED4F09">
            <w:pPr>
              <w:pStyle w:val="ListParagraph"/>
              <w:numPr>
                <w:ilvl w:val="0"/>
                <w:numId w:val="87"/>
              </w:numPr>
            </w:pPr>
            <w:r w:rsidRPr="004732A8">
              <w:t>Sans recourir à une procédure de passation d</w:t>
            </w:r>
            <w:r w:rsidR="00D0034C" w:rsidRPr="004732A8">
              <w:t>’</w:t>
            </w:r>
            <w:r w:rsidRPr="004732A8">
              <w:t xml:space="preserve">un marché public, les Écoles européennes peuvent conclure un </w:t>
            </w:r>
            <w:r w:rsidR="004A2223" w:rsidRPr="004732A8">
              <w:t xml:space="preserve">contrat ou un accord de niveau de service </w:t>
            </w:r>
            <w:r w:rsidRPr="004732A8">
              <w:t>avec la Commission, les bureaux interinstitutionnels et le Centre de traduction des organes de l</w:t>
            </w:r>
            <w:r w:rsidR="00D0034C" w:rsidRPr="004732A8">
              <w:t>’</w:t>
            </w:r>
            <w:r w:rsidRPr="004732A8">
              <w:t xml:space="preserve">Union européenne </w:t>
            </w:r>
            <w:r w:rsidRPr="004732A8">
              <w:lastRenderedPageBreak/>
              <w:t>créé par le Règlement du Conseil (CE) no 2965/94 pour la fourniture de biens, la prestation de services ou la réalisation de travaux qu</w:t>
            </w:r>
            <w:r w:rsidR="00D0034C" w:rsidRPr="004732A8">
              <w:t>’</w:t>
            </w:r>
            <w:r w:rsidRPr="004732A8">
              <w:t xml:space="preserve">offrent ces </w:t>
            </w:r>
            <w:r w:rsidR="004A2223" w:rsidRPr="004732A8">
              <w:t>organes. Les Écoles européennes soumettent chaque année au Conseil supérieur un rapport sur les accords de contrat et de niveau de service conclus sur la base de la présente disposition</w:t>
            </w:r>
            <w:r w:rsidRPr="004732A8">
              <w:t xml:space="preserve">. </w:t>
            </w:r>
          </w:p>
          <w:p w14:paraId="2E9E6BA8" w14:textId="3F3D1390" w:rsidR="004A2404" w:rsidRPr="00561DB2" w:rsidRDefault="00047510" w:rsidP="00ED4F09">
            <w:pPr>
              <w:pStyle w:val="ListParagraph"/>
              <w:numPr>
                <w:ilvl w:val="0"/>
                <w:numId w:val="87"/>
              </w:numPr>
              <w:rPr>
                <w:rStyle w:val="Corpsdutexte"/>
                <w:rFonts w:cs="Times New Roman"/>
                <w:sz w:val="22"/>
                <w:szCs w:val="20"/>
                <w:shd w:val="clear" w:color="auto" w:fill="auto"/>
              </w:rPr>
            </w:pPr>
            <w:r w:rsidRPr="004732A8">
              <w:t>Les Écoles européennes peuvent être associées en tant que partie contractante à des procédures de passation de marchés conjointes avec les pouvoirs adjudicateurs de l</w:t>
            </w:r>
            <w:r w:rsidR="00D0034C" w:rsidRPr="004732A8">
              <w:t>’</w:t>
            </w:r>
            <w:r w:rsidRPr="004732A8">
              <w:t>État membre qui accueille une École européenne afin de couvrir ses besoins administratifs. En pareil cas, le paragraphe a de l</w:t>
            </w:r>
            <w:r w:rsidR="00D0034C" w:rsidRPr="004732A8">
              <w:t>’</w:t>
            </w:r>
            <w:r w:rsidRPr="004732A8">
              <w:t xml:space="preserve">article 104 du Règlement (UE, Euratom) no 966/2012 </w:t>
            </w:r>
            <w:r w:rsidR="004A2223" w:rsidRPr="004732A8">
              <w:t xml:space="preserve">ou d’autres États membres, pour autant que l’objet de la procédure de marché conjointe s’inscrit dans le contexte des sections linguistiques ou culturelles. En pareil cas, l’article 165 du Règlement (UE, Euratom) 2018/1046 s’applique </w:t>
            </w:r>
            <w:r w:rsidRPr="004732A8">
              <w:t>mutatis mutandis.</w:t>
            </w:r>
          </w:p>
          <w:p w14:paraId="138E5A9C" w14:textId="5124EF9F" w:rsidR="00047510" w:rsidRPr="00834834" w:rsidRDefault="004A2404" w:rsidP="00561DB2">
            <w:pPr>
              <w:pStyle w:val="Heading1"/>
            </w:pPr>
            <w:r w:rsidRPr="00834834">
              <w:t>TITRE V</w:t>
            </w:r>
          </w:p>
          <w:p w14:paraId="5736C1F3" w14:textId="08619FB4" w:rsidR="004A2404" w:rsidRPr="00834834" w:rsidRDefault="004A2404" w:rsidP="00561DB2">
            <w:pPr>
              <w:pStyle w:val="Heading1"/>
              <w:rPr>
                <w:strike/>
              </w:rPr>
            </w:pPr>
            <w:r w:rsidRPr="00834834">
              <w:t>PRÉSENTATION DES COMPTES ET COMPTABILITÉ</w:t>
            </w:r>
            <w:r w:rsidRPr="00834834">
              <w:rPr>
                <w:strike/>
              </w:rPr>
              <w:t xml:space="preserve"> </w:t>
            </w:r>
          </w:p>
          <w:p w14:paraId="351304D5" w14:textId="77777777" w:rsidR="004A2404" w:rsidRPr="00834834" w:rsidRDefault="004A2404" w:rsidP="00561DB2">
            <w:pPr>
              <w:pStyle w:val="Heading2"/>
            </w:pPr>
            <w:r w:rsidRPr="00834834">
              <w:t>SECTION I</w:t>
            </w:r>
          </w:p>
          <w:p w14:paraId="35AD3EFD" w14:textId="77777777" w:rsidR="004A2404" w:rsidRPr="00834834" w:rsidRDefault="006D3B43" w:rsidP="00561DB2">
            <w:pPr>
              <w:pStyle w:val="Heading2"/>
            </w:pPr>
            <w:r w:rsidRPr="00834834">
              <w:t>PRÉSENTATION DES COMPTES</w:t>
            </w:r>
          </w:p>
          <w:p w14:paraId="5256410F" w14:textId="231B0562"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67</w:t>
            </w:r>
          </w:p>
          <w:p w14:paraId="520AAB6C" w14:textId="77777777" w:rsidR="004A2404" w:rsidRPr="00834834" w:rsidRDefault="004A2404" w:rsidP="007673A5">
            <w:pPr>
              <w:pStyle w:val="Subtitle"/>
              <w:rPr>
                <w:lang w:val="fr-BE"/>
              </w:rPr>
            </w:pPr>
            <w:r w:rsidRPr="00834834">
              <w:rPr>
                <w:lang w:val="fr-BE"/>
              </w:rPr>
              <w:t>Structure des comptes</w:t>
            </w:r>
          </w:p>
          <w:p w14:paraId="6BFEADD9" w14:textId="77777777" w:rsidR="00F9129B" w:rsidRPr="00834834" w:rsidRDefault="004A2404" w:rsidP="00561DB2">
            <w:pPr>
              <w:rPr>
                <w:lang w:val="fr-BE"/>
              </w:rPr>
            </w:pPr>
            <w:r w:rsidRPr="00834834">
              <w:rPr>
                <w:lang w:val="fr-BE"/>
              </w:rPr>
              <w:t xml:space="preserve">Les </w:t>
            </w:r>
            <w:r w:rsidR="00F9129B" w:rsidRPr="00834834">
              <w:rPr>
                <w:lang w:val="fr-BE"/>
              </w:rPr>
              <w:t>comptes annuels des Écoles européennes sont établis pour chaque exercice qui commence le 1er janvier et s’achève le 31 décembre. Ces comptes comprennent les éléments suivants :</w:t>
            </w:r>
          </w:p>
          <w:p w14:paraId="262654D5" w14:textId="4909F1F9" w:rsidR="004A2404" w:rsidRPr="00561DB2" w:rsidRDefault="004A2404" w:rsidP="00ED4F09">
            <w:pPr>
              <w:pStyle w:val="numbering2"/>
              <w:numPr>
                <w:ilvl w:val="0"/>
                <w:numId w:val="88"/>
              </w:numPr>
              <w:ind w:left="2153"/>
            </w:pPr>
            <w:proofErr w:type="gramStart"/>
            <w:r w:rsidRPr="00561DB2">
              <w:t>les</w:t>
            </w:r>
            <w:proofErr w:type="gramEnd"/>
            <w:r w:rsidRPr="00561DB2">
              <w:t xml:space="preserve"> états financiers individuels des Écoles et du Bureau du Secrétaire général et des états financiers consolidés qui présentent la consolidation des informations financières figurant dans les états financiers des Écoles et du Bureau du Secrétaire général ;</w:t>
            </w:r>
          </w:p>
          <w:p w14:paraId="27912DA5" w14:textId="6A3301BE" w:rsidR="004A2404" w:rsidRPr="00561DB2" w:rsidRDefault="004A2404" w:rsidP="00ED4F09">
            <w:pPr>
              <w:pStyle w:val="numbering2"/>
              <w:numPr>
                <w:ilvl w:val="0"/>
                <w:numId w:val="88"/>
              </w:numPr>
              <w:ind w:left="2153"/>
            </w:pPr>
            <w:proofErr w:type="gramStart"/>
            <w:r w:rsidRPr="00561DB2">
              <w:t>les</w:t>
            </w:r>
            <w:proofErr w:type="gramEnd"/>
            <w:r w:rsidRPr="00561DB2">
              <w:t xml:space="preserve"> rapports individuels et consolidé sur l</w:t>
            </w:r>
            <w:r w:rsidR="00D0034C" w:rsidRPr="00561DB2">
              <w:t>’</w:t>
            </w:r>
            <w:r w:rsidRPr="00561DB2">
              <w:t>exécution du budget.</w:t>
            </w:r>
          </w:p>
          <w:p w14:paraId="0790EA9C" w14:textId="65B7F808"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 xml:space="preserve">68 </w:t>
            </w:r>
          </w:p>
          <w:p w14:paraId="5D852A14" w14:textId="77777777" w:rsidR="004A2404" w:rsidRPr="00834834" w:rsidRDefault="000E6A62" w:rsidP="007673A5">
            <w:pPr>
              <w:pStyle w:val="Subtitle"/>
              <w:rPr>
                <w:lang w:val="fr-BE"/>
              </w:rPr>
            </w:pPr>
            <w:r w:rsidRPr="00834834">
              <w:rPr>
                <w:lang w:val="fr-BE"/>
              </w:rPr>
              <w:t>Principes comptables et règles régissant les comptes</w:t>
            </w:r>
          </w:p>
          <w:p w14:paraId="58AC1F13" w14:textId="1212F7E6" w:rsidR="004A2404" w:rsidRPr="00561DB2" w:rsidRDefault="004A2404" w:rsidP="00ED4F09">
            <w:pPr>
              <w:pStyle w:val="ListParagraph"/>
              <w:numPr>
                <w:ilvl w:val="0"/>
                <w:numId w:val="89"/>
              </w:numPr>
            </w:pPr>
            <w:r w:rsidRPr="00561DB2">
              <w:t xml:space="preserve">Le comptable adopte des règles </w:t>
            </w:r>
            <w:r w:rsidR="00F9129B" w:rsidRPr="00561DB2">
              <w:t xml:space="preserve">comptables </w:t>
            </w:r>
            <w:r w:rsidRPr="00561DB2">
              <w:t xml:space="preserve">basées sur les normes comptables internationalement </w:t>
            </w:r>
            <w:r w:rsidR="00F9129B" w:rsidRPr="00561DB2">
              <w:t>admises pour le</w:t>
            </w:r>
            <w:r w:rsidRPr="00561DB2">
              <w:t xml:space="preserve"> secteur public. Le comptable peut s</w:t>
            </w:r>
            <w:r w:rsidR="00D0034C" w:rsidRPr="00561DB2">
              <w:t>’</w:t>
            </w:r>
            <w:r w:rsidRPr="00561DB2">
              <w:t>écarter de ces normes s</w:t>
            </w:r>
            <w:r w:rsidR="00D0034C" w:rsidRPr="00561DB2">
              <w:t>’</w:t>
            </w:r>
            <w:r w:rsidRPr="00561DB2">
              <w:t xml:space="preserve">il le juge nécessaire afin de </w:t>
            </w:r>
            <w:r w:rsidR="00F9129B" w:rsidRPr="00561DB2">
              <w:t xml:space="preserve">donner une présentation fidèle et sincère </w:t>
            </w:r>
            <w:r w:rsidRPr="00561DB2">
              <w:t>des actifs et passifs, des frais, des recettes et des flux de trésorerie. Lorsqu</w:t>
            </w:r>
            <w:r w:rsidR="00D0034C" w:rsidRPr="00561DB2">
              <w:t>’</w:t>
            </w:r>
            <w:r w:rsidRPr="00561DB2">
              <w:t>une règle comptable s</w:t>
            </w:r>
            <w:r w:rsidR="00D0034C" w:rsidRPr="00561DB2">
              <w:t>’</w:t>
            </w:r>
            <w:r w:rsidRPr="00561DB2">
              <w:t xml:space="preserve">écarte de manière significative de ces normes, les notes annexes aux états financiers le signalent et indiquent les raisons justifiant cet écart. </w:t>
            </w:r>
          </w:p>
          <w:p w14:paraId="477562EA" w14:textId="7CBCFF47" w:rsidR="00F9129B" w:rsidRPr="00561DB2" w:rsidRDefault="004A2404" w:rsidP="00ED4F09">
            <w:pPr>
              <w:pStyle w:val="ListParagraph"/>
              <w:numPr>
                <w:ilvl w:val="0"/>
                <w:numId w:val="89"/>
              </w:numPr>
            </w:pPr>
            <w:r w:rsidRPr="00561DB2">
              <w:t xml:space="preserve">Les </w:t>
            </w:r>
            <w:r w:rsidR="00F9129B" w:rsidRPr="00561DB2">
              <w:t xml:space="preserve">rapports sur l’exécution budgétaire </w:t>
            </w:r>
            <w:r w:rsidRPr="00561DB2">
              <w:t>visés à l</w:t>
            </w:r>
            <w:r w:rsidR="00D0034C" w:rsidRPr="00561DB2">
              <w:t>’</w:t>
            </w:r>
            <w:r w:rsidRPr="00561DB2">
              <w:t xml:space="preserve">article 67 </w:t>
            </w:r>
            <w:r w:rsidR="00F9129B" w:rsidRPr="00561DB2">
              <w:t xml:space="preserve">(b) </w:t>
            </w:r>
            <w:r w:rsidRPr="00561DB2">
              <w:t xml:space="preserve">respectent les principes budgétaires énoncés dans le présent Règlement. Ils </w:t>
            </w:r>
            <w:r w:rsidR="00F9129B" w:rsidRPr="00561DB2">
              <w:t>permettent de suivre, de manière détaillée, l’exécution du budget. Ils enregistrent tous les</w:t>
            </w:r>
            <w:r w:rsidRPr="00561DB2">
              <w:t xml:space="preserve"> actes d’exécution </w:t>
            </w:r>
            <w:r w:rsidR="00F9129B" w:rsidRPr="00561DB2">
              <w:t>en recettes et en dépenses prévus au présent Titre et fournissent leur présentation fidèle et sincère.</w:t>
            </w:r>
          </w:p>
          <w:p w14:paraId="71976F4A" w14:textId="13E0A476" w:rsidR="00F9129B" w:rsidRDefault="00F9129B" w:rsidP="00ED4F09">
            <w:pPr>
              <w:pStyle w:val="ListParagraph"/>
              <w:numPr>
                <w:ilvl w:val="0"/>
                <w:numId w:val="89"/>
              </w:numPr>
            </w:pPr>
            <w:r w:rsidRPr="00561DB2">
              <w:t>Les règles comptables visées au paragraphe 1 fixent la structure et le contenu des états financiers, ainsi que les principes comptables sur lesquels repose l’établissement des comptes.</w:t>
            </w:r>
          </w:p>
          <w:p w14:paraId="2C120435" w14:textId="1F72736B" w:rsidR="0039221D" w:rsidRPr="003F454C" w:rsidRDefault="0039221D" w:rsidP="0039221D">
            <w:pPr>
              <w:rPr>
                <w:lang w:val="fr-BE"/>
              </w:rPr>
            </w:pPr>
          </w:p>
          <w:p w14:paraId="04C2818D" w14:textId="77777777" w:rsidR="0039221D" w:rsidRPr="003F454C" w:rsidRDefault="0039221D" w:rsidP="0039221D">
            <w:pPr>
              <w:rPr>
                <w:lang w:val="fr-BE"/>
              </w:rPr>
            </w:pPr>
          </w:p>
          <w:p w14:paraId="19B1B048" w14:textId="7F57014B" w:rsidR="004A2404" w:rsidRPr="00834834" w:rsidRDefault="004A2404" w:rsidP="007673A5">
            <w:pPr>
              <w:pStyle w:val="Subtitle"/>
              <w:rPr>
                <w:strike/>
                <w:lang w:val="fr-BE"/>
              </w:rPr>
            </w:pPr>
            <w:r w:rsidRPr="00834834">
              <w:rPr>
                <w:lang w:val="fr-BE"/>
              </w:rPr>
              <w:lastRenderedPageBreak/>
              <w:t>Article</w:t>
            </w:r>
            <w:r w:rsidR="00D0034C" w:rsidRPr="00834834">
              <w:rPr>
                <w:lang w:val="fr-BE"/>
              </w:rPr>
              <w:t> </w:t>
            </w:r>
            <w:r w:rsidRPr="00834834">
              <w:rPr>
                <w:lang w:val="fr-BE"/>
              </w:rPr>
              <w:t>69</w:t>
            </w:r>
            <w:r w:rsidRPr="00834834">
              <w:rPr>
                <w:strike/>
                <w:lang w:val="fr-BE"/>
              </w:rPr>
              <w:t xml:space="preserve"> </w:t>
            </w:r>
          </w:p>
          <w:p w14:paraId="12ED473A" w14:textId="1339EFBC" w:rsidR="00347EBF" w:rsidRPr="00834834" w:rsidRDefault="004A2404" w:rsidP="007673A5">
            <w:pPr>
              <w:pStyle w:val="Subtitle"/>
              <w:rPr>
                <w:lang w:val="fr-BE"/>
              </w:rPr>
            </w:pPr>
            <w:r w:rsidRPr="00834834">
              <w:rPr>
                <w:lang w:val="fr-BE"/>
              </w:rPr>
              <w:t>États financiers</w:t>
            </w:r>
          </w:p>
          <w:p w14:paraId="2787D435" w14:textId="77777777" w:rsidR="00F9129B" w:rsidRPr="00561DB2" w:rsidRDefault="00EB4D12" w:rsidP="00ED4F09">
            <w:pPr>
              <w:pStyle w:val="ListParagraph"/>
              <w:numPr>
                <w:ilvl w:val="0"/>
                <w:numId w:val="90"/>
              </w:numPr>
            </w:pPr>
            <w:r w:rsidRPr="00561DB2">
              <w:t>Les états financiers visés à l’article 67 présentent des informations, dont des informations sur les politiques comptables, de manière à garantir qu’elles sont pertinentes, fiables, comparables et compréhensibles. Les états financiers sont établis conformément aux principes comptables généralement admis tels que décrits dans les règles comptables visées à l</w:t>
            </w:r>
            <w:r w:rsidR="00D0034C" w:rsidRPr="00561DB2">
              <w:t>’</w:t>
            </w:r>
            <w:r w:rsidRPr="00561DB2">
              <w:t>article 68.</w:t>
            </w:r>
          </w:p>
          <w:p w14:paraId="1D1EBB0B" w14:textId="3BF0FF88" w:rsidR="004A2404" w:rsidRPr="00561DB2" w:rsidRDefault="004339E1" w:rsidP="00ED4F09">
            <w:pPr>
              <w:pStyle w:val="ListParagraph"/>
              <w:numPr>
                <w:ilvl w:val="0"/>
                <w:numId w:val="90"/>
              </w:numPr>
            </w:pPr>
            <w:r w:rsidRPr="00561DB2">
              <w:t>Les états financiers sont libellés en euros et comprennent :</w:t>
            </w:r>
          </w:p>
          <w:p w14:paraId="3EFA6612" w14:textId="2ECBEEE3" w:rsidR="00214710" w:rsidRPr="00834834" w:rsidRDefault="004A2404" w:rsidP="00ED4F09">
            <w:pPr>
              <w:pStyle w:val="numbering2"/>
              <w:numPr>
                <w:ilvl w:val="0"/>
                <w:numId w:val="91"/>
              </w:numPr>
              <w:ind w:left="2153"/>
              <w:rPr>
                <w:bCs/>
                <w:szCs w:val="24"/>
              </w:rPr>
            </w:pPr>
            <w:proofErr w:type="gramStart"/>
            <w:r w:rsidRPr="00834834">
              <w:t>le</w:t>
            </w:r>
            <w:proofErr w:type="gramEnd"/>
            <w:r w:rsidRPr="00834834">
              <w:t xml:space="preserve"> bilan, qui </w:t>
            </w:r>
            <w:r w:rsidR="00DA6ABB" w:rsidRPr="00834834">
              <w:t>présente</w:t>
            </w:r>
            <w:r w:rsidRPr="00834834">
              <w:t xml:space="preserve"> l’ensemble de la situation patrimoniale et financière </w:t>
            </w:r>
            <w:r w:rsidR="00DA6ABB" w:rsidRPr="00834834">
              <w:t>a</w:t>
            </w:r>
            <w:r w:rsidRPr="00834834">
              <w:t xml:space="preserve">u 31 décembre de l’exercice </w:t>
            </w:r>
            <w:r w:rsidR="00DA6ABB" w:rsidRPr="00834834">
              <w:t xml:space="preserve">financier </w:t>
            </w:r>
            <w:r w:rsidRPr="00834834">
              <w:t xml:space="preserve">précédent ; </w:t>
            </w:r>
          </w:p>
          <w:p w14:paraId="3F9BC49E" w14:textId="77777777" w:rsidR="00DA6ABB" w:rsidRPr="00834834" w:rsidRDefault="00DA6ABB" w:rsidP="00ED4F09">
            <w:pPr>
              <w:pStyle w:val="numbering2"/>
              <w:numPr>
                <w:ilvl w:val="0"/>
                <w:numId w:val="91"/>
              </w:numPr>
              <w:ind w:left="2153"/>
            </w:pPr>
            <w:proofErr w:type="gramStart"/>
            <w:r w:rsidRPr="00834834">
              <w:t>le</w:t>
            </w:r>
            <w:proofErr w:type="gramEnd"/>
            <w:r w:rsidRPr="00834834">
              <w:t xml:space="preserve"> compte de résultat, qui présente le résultat économique de l’exercice financier précédent ;</w:t>
            </w:r>
          </w:p>
          <w:p w14:paraId="7DA0B55E" w14:textId="77777777" w:rsidR="00DA6ABB" w:rsidRPr="00834834" w:rsidRDefault="004A2404" w:rsidP="00ED4F09">
            <w:pPr>
              <w:pStyle w:val="numbering2"/>
              <w:numPr>
                <w:ilvl w:val="0"/>
                <w:numId w:val="91"/>
              </w:numPr>
              <w:ind w:left="2153"/>
            </w:pPr>
            <w:proofErr w:type="gramStart"/>
            <w:r w:rsidRPr="00834834">
              <w:rPr>
                <w:szCs w:val="24"/>
              </w:rPr>
              <w:t>les</w:t>
            </w:r>
            <w:proofErr w:type="gramEnd"/>
            <w:r w:rsidRPr="00834834">
              <w:rPr>
                <w:szCs w:val="24"/>
              </w:rPr>
              <w:t xml:space="preserve"> états de trésorerie montrant les montants perçus et versés au cours de l</w:t>
            </w:r>
            <w:r w:rsidR="00D0034C" w:rsidRPr="00834834">
              <w:rPr>
                <w:szCs w:val="24"/>
              </w:rPr>
              <w:t>’</w:t>
            </w:r>
            <w:r w:rsidRPr="00834834">
              <w:rPr>
                <w:szCs w:val="24"/>
              </w:rPr>
              <w:t>année et la situation de trésorerie finale ;</w:t>
            </w:r>
          </w:p>
          <w:p w14:paraId="573F7734" w14:textId="77777777" w:rsidR="00DA6ABB" w:rsidRPr="00834834" w:rsidRDefault="004A2404" w:rsidP="00ED4F09">
            <w:pPr>
              <w:pStyle w:val="numbering2"/>
              <w:numPr>
                <w:ilvl w:val="0"/>
                <w:numId w:val="91"/>
              </w:numPr>
              <w:ind w:left="2153"/>
            </w:pPr>
            <w:proofErr w:type="gramStart"/>
            <w:r w:rsidRPr="00834834">
              <w:rPr>
                <w:szCs w:val="24"/>
              </w:rPr>
              <w:t>l</w:t>
            </w:r>
            <w:r w:rsidR="00D0034C" w:rsidRPr="00834834">
              <w:rPr>
                <w:szCs w:val="24"/>
              </w:rPr>
              <w:t>’</w:t>
            </w:r>
            <w:r w:rsidRPr="00834834">
              <w:rPr>
                <w:szCs w:val="24"/>
              </w:rPr>
              <w:t>état</w:t>
            </w:r>
            <w:proofErr w:type="gramEnd"/>
            <w:r w:rsidRPr="00834834">
              <w:rPr>
                <w:szCs w:val="24"/>
              </w:rPr>
              <w:t xml:space="preserve"> des variations de l</w:t>
            </w:r>
            <w:r w:rsidR="00D0034C" w:rsidRPr="00834834">
              <w:rPr>
                <w:szCs w:val="24"/>
              </w:rPr>
              <w:t>’</w:t>
            </w:r>
            <w:r w:rsidRPr="00834834">
              <w:rPr>
                <w:szCs w:val="24"/>
              </w:rPr>
              <w:t>actif net présentant un aperçu des mouvements des réserves et des résultats accumulés au cours de l</w:t>
            </w:r>
            <w:r w:rsidR="00D0034C" w:rsidRPr="00834834">
              <w:rPr>
                <w:szCs w:val="24"/>
              </w:rPr>
              <w:t>’</w:t>
            </w:r>
            <w:r w:rsidRPr="00834834">
              <w:rPr>
                <w:szCs w:val="24"/>
              </w:rPr>
              <w:t>année ;</w:t>
            </w:r>
          </w:p>
          <w:p w14:paraId="1829EE0F" w14:textId="388B68C7" w:rsidR="00F32D3E" w:rsidRPr="00834834" w:rsidRDefault="005E1DC0" w:rsidP="00ED4F09">
            <w:pPr>
              <w:pStyle w:val="numbering2"/>
              <w:numPr>
                <w:ilvl w:val="0"/>
                <w:numId w:val="91"/>
              </w:numPr>
              <w:ind w:left="2153"/>
            </w:pPr>
            <w:proofErr w:type="gramStart"/>
            <w:r w:rsidRPr="00834834">
              <w:rPr>
                <w:bCs/>
                <w:szCs w:val="24"/>
              </w:rPr>
              <w:t>une</w:t>
            </w:r>
            <w:proofErr w:type="gramEnd"/>
            <w:r w:rsidRPr="00834834">
              <w:rPr>
                <w:szCs w:val="24"/>
              </w:rPr>
              <w:t xml:space="preserve"> </w:t>
            </w:r>
            <w:r w:rsidRPr="00834834">
              <w:rPr>
                <w:bCs/>
                <w:szCs w:val="24"/>
              </w:rPr>
              <w:t>comparaison</w:t>
            </w:r>
            <w:r w:rsidRPr="00834834">
              <w:rPr>
                <w:szCs w:val="24"/>
              </w:rPr>
              <w:t xml:space="preserve"> entre le budget et les montants inscrits.</w:t>
            </w:r>
          </w:p>
          <w:p w14:paraId="1B9E773D" w14:textId="2AC8DAF1" w:rsidR="004A2404" w:rsidRPr="00834834" w:rsidRDefault="004339E1" w:rsidP="00ED4F09">
            <w:pPr>
              <w:pStyle w:val="ListParagraph"/>
              <w:numPr>
                <w:ilvl w:val="0"/>
                <w:numId w:val="90"/>
              </w:numPr>
            </w:pPr>
            <w:r w:rsidRPr="00834834">
              <w:t xml:space="preserve">Les notes afférentes aux états financiers complètent et commentent les informations présentées dans les états visés au paragraphe 1 et fournissent </w:t>
            </w:r>
            <w:r w:rsidR="00DA6ABB" w:rsidRPr="00834834">
              <w:t>toutes les informations complémentaires prescrites par les règles comptables visées à l’article 68 et par la pratique comptable internationalement admise, lorsque ces informations sont pertinentes au regard des activités des Écoles européennes</w:t>
            </w:r>
            <w:r w:rsidRPr="00834834">
              <w:t>.</w:t>
            </w:r>
          </w:p>
          <w:p w14:paraId="4F7B30F3" w14:textId="77777777" w:rsidR="00DA6ABB" w:rsidRPr="00834834" w:rsidRDefault="00DA6ABB" w:rsidP="00561DB2">
            <w:pPr>
              <w:pStyle w:val="ListParagraph"/>
              <w:ind w:left="1117"/>
            </w:pPr>
            <w:r w:rsidRPr="00834834">
              <w:t xml:space="preserve">Les notes contiennent au moins les informations suivantes : </w:t>
            </w:r>
          </w:p>
          <w:p w14:paraId="7F3D3843" w14:textId="0E09E4EC" w:rsidR="00DA6ABB" w:rsidRPr="00834834" w:rsidRDefault="00DA6ABB" w:rsidP="00ED4F09">
            <w:pPr>
              <w:pStyle w:val="numbering2"/>
              <w:numPr>
                <w:ilvl w:val="0"/>
                <w:numId w:val="92"/>
              </w:numPr>
              <w:ind w:left="2153"/>
            </w:pPr>
            <w:proofErr w:type="gramStart"/>
            <w:r w:rsidRPr="00834834">
              <w:t>les</w:t>
            </w:r>
            <w:proofErr w:type="gramEnd"/>
            <w:r w:rsidRPr="00834834">
              <w:t xml:space="preserve"> principes, règles et méthodes comptables ; </w:t>
            </w:r>
          </w:p>
          <w:p w14:paraId="25CA3D7F" w14:textId="717A1B25" w:rsidR="00DA6ABB" w:rsidRPr="00834834" w:rsidRDefault="00DA6ABB" w:rsidP="00ED4F09">
            <w:pPr>
              <w:pStyle w:val="numbering2"/>
              <w:numPr>
                <w:ilvl w:val="0"/>
                <w:numId w:val="92"/>
              </w:numPr>
              <w:ind w:left="2153"/>
            </w:pPr>
            <w:proofErr w:type="gramStart"/>
            <w:r w:rsidRPr="00834834">
              <w:t>les</w:t>
            </w:r>
            <w:proofErr w:type="gramEnd"/>
            <w:r w:rsidRPr="00834834">
              <w:t xml:space="preserve"> notes explicatives qui fournissent des informations supplémentaires qui ne sont pas présentées dans le corps des états financiers mais qui sont nécessaires à une présentation fidèle et sincère des comptes.</w:t>
            </w:r>
          </w:p>
          <w:p w14:paraId="29512512" w14:textId="7420400A" w:rsidR="004A2404" w:rsidRPr="00834834" w:rsidRDefault="004A2404" w:rsidP="007673A5">
            <w:pPr>
              <w:pStyle w:val="Subtitle"/>
              <w:rPr>
                <w:bCs/>
                <w:lang w:val="fr-BE"/>
              </w:rPr>
            </w:pPr>
            <w:r w:rsidRPr="00834834">
              <w:rPr>
                <w:lang w:val="fr-BE"/>
              </w:rPr>
              <w:t>Article</w:t>
            </w:r>
            <w:r w:rsidR="00D0034C" w:rsidRPr="00834834">
              <w:rPr>
                <w:lang w:val="fr-BE"/>
              </w:rPr>
              <w:t> </w:t>
            </w:r>
            <w:r w:rsidRPr="00834834">
              <w:rPr>
                <w:lang w:val="fr-BE"/>
              </w:rPr>
              <w:t>70</w:t>
            </w:r>
          </w:p>
          <w:p w14:paraId="2907E913" w14:textId="0EE92AA8" w:rsidR="004A2404" w:rsidRPr="00834834" w:rsidRDefault="004A2404" w:rsidP="007673A5">
            <w:pPr>
              <w:pStyle w:val="Subtitle"/>
              <w:rPr>
                <w:bCs/>
                <w:lang w:val="fr-BE"/>
              </w:rPr>
            </w:pPr>
            <w:r w:rsidRPr="00834834">
              <w:rPr>
                <w:lang w:val="fr-BE"/>
              </w:rPr>
              <w:t>Rapports d</w:t>
            </w:r>
            <w:r w:rsidR="00D0034C" w:rsidRPr="00834834">
              <w:rPr>
                <w:lang w:val="fr-BE"/>
              </w:rPr>
              <w:t>’</w:t>
            </w:r>
            <w:r w:rsidRPr="00834834">
              <w:rPr>
                <w:lang w:val="fr-BE"/>
              </w:rPr>
              <w:t xml:space="preserve">exécution budgétaire </w:t>
            </w:r>
          </w:p>
          <w:p w14:paraId="2F8546F5" w14:textId="735F6873" w:rsidR="00321563" w:rsidRPr="00834834" w:rsidRDefault="004A2404" w:rsidP="00561DB2">
            <w:pPr>
              <w:rPr>
                <w:lang w:val="fr-BE"/>
              </w:rPr>
            </w:pPr>
            <w:r w:rsidRPr="00834834">
              <w:rPr>
                <w:lang w:val="fr-BE"/>
              </w:rPr>
              <w:t>Les rapports d</w:t>
            </w:r>
            <w:r w:rsidR="00D0034C" w:rsidRPr="00834834">
              <w:rPr>
                <w:lang w:val="fr-BE"/>
              </w:rPr>
              <w:t>’</w:t>
            </w:r>
            <w:r w:rsidRPr="00834834">
              <w:rPr>
                <w:lang w:val="fr-BE"/>
              </w:rPr>
              <w:t xml:space="preserve">exécution budgétaire sont libellés en euros sur une base de caisse. Ils </w:t>
            </w:r>
            <w:proofErr w:type="gramStart"/>
            <w:r w:rsidRPr="00834834">
              <w:rPr>
                <w:lang w:val="fr-BE"/>
              </w:rPr>
              <w:t>comportent </w:t>
            </w:r>
            <w:r w:rsidR="00561DB2">
              <w:rPr>
                <w:lang w:val="fr-BE"/>
              </w:rPr>
              <w:t>.</w:t>
            </w:r>
            <w:proofErr w:type="gramEnd"/>
          </w:p>
          <w:p w14:paraId="270002AB" w14:textId="1A0534D4" w:rsidR="004A2404" w:rsidRPr="00561DB2" w:rsidRDefault="00E141B5" w:rsidP="00ED4F09">
            <w:pPr>
              <w:pStyle w:val="ListParagraph"/>
              <w:numPr>
                <w:ilvl w:val="0"/>
                <w:numId w:val="93"/>
              </w:numPr>
            </w:pPr>
            <w:proofErr w:type="gramStart"/>
            <w:r w:rsidRPr="00561DB2">
              <w:t>un</w:t>
            </w:r>
            <w:proofErr w:type="gramEnd"/>
            <w:r w:rsidRPr="00561DB2">
              <w:t xml:space="preserve"> tableau des recettes comprenant :</w:t>
            </w:r>
          </w:p>
          <w:p w14:paraId="46730F8B" w14:textId="134F6DAD" w:rsidR="00321563" w:rsidRPr="00834834" w:rsidRDefault="004A2404" w:rsidP="00ED4F09">
            <w:pPr>
              <w:pStyle w:val="numbering2"/>
              <w:numPr>
                <w:ilvl w:val="2"/>
                <w:numId w:val="94"/>
              </w:numPr>
            </w:pPr>
            <w:proofErr w:type="gramStart"/>
            <w:r w:rsidRPr="00834834">
              <w:t>les</w:t>
            </w:r>
            <w:proofErr w:type="gramEnd"/>
            <w:r w:rsidRPr="00834834">
              <w:t xml:space="preserve"> prévisions de recettes de l</w:t>
            </w:r>
            <w:r w:rsidR="00D0034C" w:rsidRPr="00834834">
              <w:t>’</w:t>
            </w:r>
            <w:r w:rsidRPr="00834834">
              <w:t>exercice ;</w:t>
            </w:r>
          </w:p>
          <w:p w14:paraId="472834E4" w14:textId="692F4BFA" w:rsidR="00321563" w:rsidRPr="00834834" w:rsidRDefault="004A2404" w:rsidP="00ED4F09">
            <w:pPr>
              <w:pStyle w:val="numbering2"/>
              <w:numPr>
                <w:ilvl w:val="2"/>
                <w:numId w:val="94"/>
              </w:numPr>
            </w:pPr>
            <w:proofErr w:type="gramStart"/>
            <w:r w:rsidRPr="00834834">
              <w:t>les</w:t>
            </w:r>
            <w:proofErr w:type="gramEnd"/>
            <w:r w:rsidRPr="00834834">
              <w:t xml:space="preserve"> modifications des prévisions de recettes résultant de budgets rectificatifs ;</w:t>
            </w:r>
          </w:p>
          <w:p w14:paraId="6C81F028" w14:textId="5682B69F" w:rsidR="00321563" w:rsidRPr="00834834" w:rsidRDefault="00321563" w:rsidP="00ED4F09">
            <w:pPr>
              <w:pStyle w:val="numbering2"/>
              <w:numPr>
                <w:ilvl w:val="2"/>
                <w:numId w:val="94"/>
              </w:numPr>
            </w:pPr>
            <w:proofErr w:type="gramStart"/>
            <w:r w:rsidRPr="00834834">
              <w:t>les</w:t>
            </w:r>
            <w:proofErr w:type="gramEnd"/>
            <w:r w:rsidRPr="00834834">
              <w:t xml:space="preserve"> recettes perçues au cours de l</w:t>
            </w:r>
            <w:r w:rsidR="00D0034C" w:rsidRPr="00834834">
              <w:t>’</w:t>
            </w:r>
            <w:r w:rsidRPr="00834834">
              <w:t>exercice ;</w:t>
            </w:r>
          </w:p>
          <w:p w14:paraId="4FE72CDC" w14:textId="6FA4D4D0" w:rsidR="00321563" w:rsidRPr="00834834" w:rsidRDefault="004A2404" w:rsidP="00ED4F09">
            <w:pPr>
              <w:pStyle w:val="numbering2"/>
              <w:numPr>
                <w:ilvl w:val="2"/>
                <w:numId w:val="94"/>
              </w:numPr>
            </w:pPr>
            <w:proofErr w:type="gramStart"/>
            <w:r w:rsidRPr="00834834">
              <w:t>les</w:t>
            </w:r>
            <w:proofErr w:type="gramEnd"/>
            <w:r w:rsidRPr="00834834">
              <w:t xml:space="preserve"> droits restant à recouvrer de l</w:t>
            </w:r>
            <w:r w:rsidR="00D0034C" w:rsidRPr="00834834">
              <w:t>’</w:t>
            </w:r>
            <w:r w:rsidRPr="00834834">
              <w:t>exercice précédent ;</w:t>
            </w:r>
          </w:p>
          <w:p w14:paraId="72B0D759" w14:textId="218534B6" w:rsidR="00321563" w:rsidRPr="00834834" w:rsidRDefault="00321563" w:rsidP="00ED4F09">
            <w:pPr>
              <w:pStyle w:val="numbering2"/>
              <w:numPr>
                <w:ilvl w:val="2"/>
                <w:numId w:val="94"/>
              </w:numPr>
            </w:pPr>
            <w:proofErr w:type="gramStart"/>
            <w:r w:rsidRPr="00834834">
              <w:t>les</w:t>
            </w:r>
            <w:proofErr w:type="gramEnd"/>
            <w:r w:rsidRPr="00834834">
              <w:t xml:space="preserve"> droits constatés au cours de l</w:t>
            </w:r>
            <w:r w:rsidR="00D0034C" w:rsidRPr="00834834">
              <w:t>’</w:t>
            </w:r>
            <w:r w:rsidRPr="00834834">
              <w:t>exercice ;</w:t>
            </w:r>
          </w:p>
          <w:p w14:paraId="054272F6" w14:textId="0E43FB6B" w:rsidR="004A2404" w:rsidRPr="00834834" w:rsidRDefault="004A2404" w:rsidP="00ED4F09">
            <w:pPr>
              <w:pStyle w:val="numbering2"/>
              <w:numPr>
                <w:ilvl w:val="2"/>
                <w:numId w:val="94"/>
              </w:numPr>
            </w:pPr>
            <w:proofErr w:type="gramStart"/>
            <w:r w:rsidRPr="00834834">
              <w:t>les</w:t>
            </w:r>
            <w:proofErr w:type="gramEnd"/>
            <w:r w:rsidRPr="00834834">
              <w:t xml:space="preserve"> montants restants à recouvrer à la fin de l</w:t>
            </w:r>
            <w:r w:rsidR="00D0034C" w:rsidRPr="00834834">
              <w:t>’</w:t>
            </w:r>
            <w:r w:rsidRPr="00834834">
              <w:t>exercice.</w:t>
            </w:r>
          </w:p>
          <w:p w14:paraId="61410422" w14:textId="400143A8" w:rsidR="004A2404" w:rsidRPr="00834834" w:rsidRDefault="004A2404" w:rsidP="00561DB2">
            <w:pPr>
              <w:pStyle w:val="ListParagraph"/>
              <w:ind w:left="1161"/>
            </w:pPr>
            <w:r w:rsidRPr="00834834">
              <w:t>Il est joint à ce tableau, le cas échéant, un état faisant apparaître les soldes et les montants bruts des opérations visées à l</w:t>
            </w:r>
            <w:r w:rsidR="00D0034C" w:rsidRPr="00834834">
              <w:t>’</w:t>
            </w:r>
            <w:r w:rsidRPr="00834834">
              <w:t>article 6.</w:t>
            </w:r>
          </w:p>
          <w:p w14:paraId="1648721B" w14:textId="521CEACD" w:rsidR="004A2404" w:rsidRPr="00834834" w:rsidRDefault="00E141B5" w:rsidP="00ED4F09">
            <w:pPr>
              <w:pStyle w:val="ListParagraph"/>
              <w:numPr>
                <w:ilvl w:val="0"/>
                <w:numId w:val="93"/>
              </w:numPr>
            </w:pPr>
            <w:proofErr w:type="gramStart"/>
            <w:r w:rsidRPr="00834834">
              <w:t>des</w:t>
            </w:r>
            <w:proofErr w:type="gramEnd"/>
            <w:r w:rsidRPr="00834834">
              <w:t xml:space="preserve"> tableaux retraçant</w:t>
            </w:r>
            <w:r w:rsidRPr="00834834">
              <w:rPr>
                <w:bCs/>
              </w:rPr>
              <w:t xml:space="preserve"> </w:t>
            </w:r>
            <w:r w:rsidRPr="00834834">
              <w:t>les dépenses, y compris l</w:t>
            </w:r>
            <w:r w:rsidR="00D0034C" w:rsidRPr="00834834">
              <w:t>’</w:t>
            </w:r>
            <w:r w:rsidRPr="00834834">
              <w:t>évolution des crédits de l</w:t>
            </w:r>
            <w:r w:rsidR="00D0034C" w:rsidRPr="00834834">
              <w:t>’</w:t>
            </w:r>
            <w:r w:rsidRPr="00834834">
              <w:t>exercice et faisant apparaître, selon la nomenclature budgétaire :</w:t>
            </w:r>
          </w:p>
          <w:p w14:paraId="744E42E8" w14:textId="758B9791" w:rsidR="00321563" w:rsidRPr="00561DB2" w:rsidRDefault="004A2404" w:rsidP="00ED4F09">
            <w:pPr>
              <w:pStyle w:val="numbering2"/>
              <w:numPr>
                <w:ilvl w:val="2"/>
                <w:numId w:val="95"/>
              </w:numPr>
            </w:pPr>
            <w:proofErr w:type="gramStart"/>
            <w:r w:rsidRPr="00561DB2">
              <w:lastRenderedPageBreak/>
              <w:t>les</w:t>
            </w:r>
            <w:proofErr w:type="gramEnd"/>
            <w:r w:rsidRPr="00561DB2">
              <w:t xml:space="preserve"> crédits initiaux ;</w:t>
            </w:r>
          </w:p>
          <w:p w14:paraId="7969BAF5" w14:textId="07427CA2" w:rsidR="00321563" w:rsidRPr="00561DB2" w:rsidRDefault="00321563" w:rsidP="00ED4F09">
            <w:pPr>
              <w:pStyle w:val="numbering2"/>
              <w:numPr>
                <w:ilvl w:val="2"/>
                <w:numId w:val="95"/>
              </w:numPr>
            </w:pPr>
            <w:proofErr w:type="gramStart"/>
            <w:r w:rsidRPr="00561DB2">
              <w:t>les</w:t>
            </w:r>
            <w:proofErr w:type="gramEnd"/>
            <w:r w:rsidRPr="00561DB2">
              <w:t xml:space="preserve"> modifications intervenues par voie de budgets rectificatifs ;</w:t>
            </w:r>
          </w:p>
          <w:p w14:paraId="683652CB" w14:textId="1CB3F625" w:rsidR="00321563" w:rsidRPr="00561DB2" w:rsidRDefault="004A2404" w:rsidP="00ED4F09">
            <w:pPr>
              <w:pStyle w:val="numbering2"/>
              <w:numPr>
                <w:ilvl w:val="2"/>
                <w:numId w:val="95"/>
              </w:numPr>
            </w:pPr>
            <w:proofErr w:type="gramStart"/>
            <w:r w:rsidRPr="00561DB2">
              <w:t>les</w:t>
            </w:r>
            <w:proofErr w:type="gramEnd"/>
            <w:r w:rsidRPr="00561DB2">
              <w:t xml:space="preserve"> modifications des crédits intervenues par virements ;</w:t>
            </w:r>
          </w:p>
          <w:p w14:paraId="07133773" w14:textId="3EF6B21F" w:rsidR="00321563" w:rsidRPr="00561DB2" w:rsidRDefault="004A2404" w:rsidP="00ED4F09">
            <w:pPr>
              <w:pStyle w:val="numbering2"/>
              <w:numPr>
                <w:ilvl w:val="2"/>
                <w:numId w:val="95"/>
              </w:numPr>
            </w:pPr>
            <w:proofErr w:type="gramStart"/>
            <w:r w:rsidRPr="00561DB2">
              <w:t>les</w:t>
            </w:r>
            <w:proofErr w:type="gramEnd"/>
            <w:r w:rsidRPr="00561DB2">
              <w:t xml:space="preserve"> crédits définitifs de l</w:t>
            </w:r>
            <w:r w:rsidR="00D0034C" w:rsidRPr="00561DB2">
              <w:t>’</w:t>
            </w:r>
            <w:r w:rsidRPr="00561DB2">
              <w:t>exercice ;</w:t>
            </w:r>
          </w:p>
          <w:p w14:paraId="0742FA5E" w14:textId="191C3072" w:rsidR="00321563" w:rsidRPr="00561DB2" w:rsidRDefault="004A2404" w:rsidP="00ED4F09">
            <w:pPr>
              <w:pStyle w:val="numbering2"/>
              <w:numPr>
                <w:ilvl w:val="2"/>
                <w:numId w:val="95"/>
              </w:numPr>
            </w:pPr>
            <w:proofErr w:type="gramStart"/>
            <w:r w:rsidRPr="00561DB2">
              <w:t>les</w:t>
            </w:r>
            <w:proofErr w:type="gramEnd"/>
            <w:r w:rsidRPr="00561DB2">
              <w:t xml:space="preserve"> engagements contractés à la charge de l</w:t>
            </w:r>
            <w:r w:rsidR="00D0034C" w:rsidRPr="00561DB2">
              <w:t>’</w:t>
            </w:r>
            <w:r w:rsidRPr="00561DB2">
              <w:t>exercice ;</w:t>
            </w:r>
          </w:p>
          <w:p w14:paraId="2F8B957B" w14:textId="697B4F71" w:rsidR="00321563" w:rsidRPr="00561DB2" w:rsidRDefault="004A2404" w:rsidP="00ED4F09">
            <w:pPr>
              <w:pStyle w:val="numbering2"/>
              <w:numPr>
                <w:ilvl w:val="2"/>
                <w:numId w:val="95"/>
              </w:numPr>
            </w:pPr>
            <w:proofErr w:type="gramStart"/>
            <w:r w:rsidRPr="00561DB2">
              <w:t>les</w:t>
            </w:r>
            <w:proofErr w:type="gramEnd"/>
            <w:r w:rsidRPr="00561DB2">
              <w:t xml:space="preserve"> paiements effectués à la charge de l</w:t>
            </w:r>
            <w:r w:rsidR="00D0034C" w:rsidRPr="00561DB2">
              <w:t>’</w:t>
            </w:r>
            <w:r w:rsidRPr="00561DB2">
              <w:t>exercice ;</w:t>
            </w:r>
          </w:p>
          <w:p w14:paraId="18F26567" w14:textId="3AA38D93" w:rsidR="00321563" w:rsidRPr="00561DB2" w:rsidRDefault="004A2404" w:rsidP="00ED4F09">
            <w:pPr>
              <w:pStyle w:val="numbering2"/>
              <w:numPr>
                <w:ilvl w:val="2"/>
                <w:numId w:val="95"/>
              </w:numPr>
            </w:pPr>
            <w:proofErr w:type="gramStart"/>
            <w:r w:rsidRPr="00561DB2">
              <w:t>la</w:t>
            </w:r>
            <w:proofErr w:type="gramEnd"/>
            <w:r w:rsidRPr="00561DB2">
              <w:t xml:space="preserve"> liquidation des engagements de l</w:t>
            </w:r>
            <w:r w:rsidR="00D0034C" w:rsidRPr="00561DB2">
              <w:t>’</w:t>
            </w:r>
            <w:r w:rsidRPr="00561DB2">
              <w:t>exercice et le calcul des sommes restant à payer à la clôture de l</w:t>
            </w:r>
            <w:r w:rsidR="00D0034C" w:rsidRPr="00561DB2">
              <w:t>’</w:t>
            </w:r>
            <w:r w:rsidRPr="00561DB2">
              <w:t>exercice ;</w:t>
            </w:r>
          </w:p>
          <w:p w14:paraId="2628F277" w14:textId="2F7B0CFB" w:rsidR="00321563" w:rsidRPr="00561DB2" w:rsidRDefault="004A2404" w:rsidP="00ED4F09">
            <w:pPr>
              <w:pStyle w:val="numbering2"/>
              <w:numPr>
                <w:ilvl w:val="2"/>
                <w:numId w:val="95"/>
              </w:numPr>
            </w:pPr>
            <w:proofErr w:type="gramStart"/>
            <w:r w:rsidRPr="00561DB2">
              <w:t>les</w:t>
            </w:r>
            <w:proofErr w:type="gramEnd"/>
            <w:r w:rsidRPr="00561DB2">
              <w:t xml:space="preserve"> crédits de paiement reportés en vertu de l</w:t>
            </w:r>
            <w:r w:rsidR="00D0034C" w:rsidRPr="00561DB2">
              <w:t>’</w:t>
            </w:r>
            <w:r w:rsidRPr="00561DB2">
              <w:t>article 14 ;</w:t>
            </w:r>
          </w:p>
          <w:p w14:paraId="0BEA951A" w14:textId="1EADC517" w:rsidR="004A2404" w:rsidRPr="00561DB2" w:rsidRDefault="00321563" w:rsidP="00ED4F09">
            <w:pPr>
              <w:pStyle w:val="numbering2"/>
              <w:numPr>
                <w:ilvl w:val="2"/>
                <w:numId w:val="95"/>
              </w:numPr>
            </w:pPr>
            <w:proofErr w:type="gramStart"/>
            <w:r w:rsidRPr="00561DB2">
              <w:t>les</w:t>
            </w:r>
            <w:proofErr w:type="gramEnd"/>
            <w:r w:rsidRPr="00561DB2">
              <w:t xml:space="preserve"> crédits annulés.</w:t>
            </w:r>
            <w:r w:rsidRPr="00561DB2">
              <w:tab/>
            </w:r>
          </w:p>
          <w:p w14:paraId="4166C011" w14:textId="77777777" w:rsidR="004A2404" w:rsidRPr="00834834" w:rsidRDefault="004A2404" w:rsidP="00561DB2">
            <w:pPr>
              <w:rPr>
                <w:bCs/>
                <w:lang w:val="fr-BE"/>
              </w:rPr>
            </w:pPr>
            <w:r w:rsidRPr="00834834">
              <w:rPr>
                <w:lang w:val="fr-BE"/>
              </w:rPr>
              <w:t>Il est joint à ces tableaux un état mentionnant séparément les remboursements effectués par les États membres en ce qui concerne les charges fiscales (TVA) incorporées dans les prix des produits et prestations fournies aux Écoles.</w:t>
            </w:r>
          </w:p>
          <w:p w14:paraId="1DE319CE" w14:textId="55AF4FE7" w:rsidR="004A2404" w:rsidRPr="00834834" w:rsidRDefault="00E141B5" w:rsidP="00ED4F09">
            <w:pPr>
              <w:pStyle w:val="ListParagraph"/>
              <w:numPr>
                <w:ilvl w:val="0"/>
                <w:numId w:val="93"/>
              </w:numPr>
            </w:pPr>
            <w:proofErr w:type="gramStart"/>
            <w:r w:rsidRPr="00834834">
              <w:t>des</w:t>
            </w:r>
            <w:proofErr w:type="gramEnd"/>
            <w:r w:rsidRPr="00834834">
              <w:t xml:space="preserve"> tableaux retraçant l</w:t>
            </w:r>
            <w:r w:rsidR="00D0034C" w:rsidRPr="00834834">
              <w:t>’</w:t>
            </w:r>
            <w:r w:rsidRPr="00834834">
              <w:t>utilisation des crédits reportés d</w:t>
            </w:r>
            <w:r w:rsidR="00D0034C" w:rsidRPr="00834834">
              <w:t>’</w:t>
            </w:r>
            <w:r w:rsidRPr="00834834">
              <w:t>exercices antérieurs et faisant apparaître :</w:t>
            </w:r>
          </w:p>
          <w:p w14:paraId="2C61AE35" w14:textId="41CB0876" w:rsidR="00321563" w:rsidRPr="00561DB2" w:rsidRDefault="004A2404" w:rsidP="00ED4F09">
            <w:pPr>
              <w:pStyle w:val="numbering2"/>
              <w:numPr>
                <w:ilvl w:val="2"/>
                <w:numId w:val="96"/>
              </w:numPr>
            </w:pPr>
            <w:proofErr w:type="gramStart"/>
            <w:r w:rsidRPr="00561DB2">
              <w:t>la</w:t>
            </w:r>
            <w:proofErr w:type="gramEnd"/>
            <w:r w:rsidRPr="00561DB2">
              <w:t xml:space="preserve"> liquidation des sommes restant à payer à la clôture de l’exercice précédent et le calcul des sommes restant à payer à la clôture de l</w:t>
            </w:r>
            <w:r w:rsidR="00D0034C" w:rsidRPr="00561DB2">
              <w:t>’</w:t>
            </w:r>
            <w:r w:rsidRPr="00561DB2">
              <w:t>exercice en cours ;</w:t>
            </w:r>
          </w:p>
          <w:p w14:paraId="3A64EDD6" w14:textId="251076B4" w:rsidR="00321563" w:rsidRPr="00561DB2" w:rsidRDefault="004A2404" w:rsidP="00ED4F09">
            <w:pPr>
              <w:pStyle w:val="numbering2"/>
              <w:numPr>
                <w:ilvl w:val="2"/>
                <w:numId w:val="96"/>
              </w:numPr>
            </w:pPr>
            <w:proofErr w:type="gramStart"/>
            <w:r w:rsidRPr="00561DB2">
              <w:t>le</w:t>
            </w:r>
            <w:proofErr w:type="gramEnd"/>
            <w:r w:rsidRPr="00561DB2">
              <w:t xml:space="preserve"> montant inutilisé pour l</w:t>
            </w:r>
            <w:r w:rsidR="00D0034C" w:rsidRPr="00561DB2">
              <w:t>’</w:t>
            </w:r>
            <w:r w:rsidRPr="00561DB2">
              <w:t>exercice suivant ;</w:t>
            </w:r>
          </w:p>
          <w:p w14:paraId="4D0508A0" w14:textId="03A69715" w:rsidR="00321563" w:rsidRPr="00561DB2" w:rsidRDefault="004A2404" w:rsidP="00ED4F09">
            <w:pPr>
              <w:pStyle w:val="numbering2"/>
              <w:numPr>
                <w:ilvl w:val="2"/>
                <w:numId w:val="96"/>
              </w:numPr>
            </w:pPr>
            <w:proofErr w:type="gramStart"/>
            <w:r w:rsidRPr="00561DB2">
              <w:t>le</w:t>
            </w:r>
            <w:proofErr w:type="gramEnd"/>
            <w:r w:rsidRPr="00561DB2">
              <w:t xml:space="preserve"> montant annulé ;</w:t>
            </w:r>
          </w:p>
          <w:p w14:paraId="5528D2D1" w14:textId="28FEC33E" w:rsidR="004A2404" w:rsidRPr="00561DB2" w:rsidRDefault="00321563" w:rsidP="00ED4F09">
            <w:pPr>
              <w:pStyle w:val="numbering2"/>
              <w:numPr>
                <w:ilvl w:val="2"/>
                <w:numId w:val="96"/>
              </w:numPr>
            </w:pPr>
            <w:proofErr w:type="gramStart"/>
            <w:r w:rsidRPr="00561DB2">
              <w:t>un</w:t>
            </w:r>
            <w:proofErr w:type="gramEnd"/>
            <w:r w:rsidRPr="00561DB2">
              <w:t xml:space="preserve"> document retraçant les opérations des Fonds de Réserve.</w:t>
            </w:r>
          </w:p>
          <w:p w14:paraId="1A2C7CF6" w14:textId="6F0949E6" w:rsidR="004A2404" w:rsidRPr="00834834" w:rsidRDefault="00E141B5" w:rsidP="00ED4F09">
            <w:pPr>
              <w:pStyle w:val="ListParagraph"/>
              <w:numPr>
                <w:ilvl w:val="0"/>
                <w:numId w:val="93"/>
              </w:numPr>
              <w:rPr>
                <w:bCs/>
                <w:strike/>
              </w:rPr>
            </w:pPr>
            <w:r w:rsidRPr="00834834">
              <w:t>La structure des rapports d</w:t>
            </w:r>
            <w:r w:rsidR="00D0034C" w:rsidRPr="00834834">
              <w:t>’</w:t>
            </w:r>
            <w:r w:rsidRPr="00834834">
              <w:t>exécution budgétaire est la même que celle du budget lui-même.</w:t>
            </w:r>
          </w:p>
          <w:p w14:paraId="2A0F6086" w14:textId="77777777" w:rsidR="00DA6ABB"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71</w:t>
            </w:r>
          </w:p>
          <w:p w14:paraId="41526D45" w14:textId="51A94473" w:rsidR="004A2404" w:rsidRPr="00834834" w:rsidRDefault="00DA6ABB" w:rsidP="007673A5">
            <w:pPr>
              <w:pStyle w:val="Subtitle"/>
              <w:rPr>
                <w:lang w:val="fr-BE"/>
              </w:rPr>
            </w:pPr>
            <w:r w:rsidRPr="00834834">
              <w:rPr>
                <w:lang w:val="fr-BE"/>
              </w:rPr>
              <w:t>Comptes</w:t>
            </w:r>
            <w:r w:rsidR="00D1718B" w:rsidRPr="00834834">
              <w:rPr>
                <w:lang w:val="fr-BE"/>
              </w:rPr>
              <w:t xml:space="preserve"> individue</w:t>
            </w:r>
            <w:r w:rsidRPr="00834834">
              <w:rPr>
                <w:lang w:val="fr-BE"/>
              </w:rPr>
              <w:t>ls provisoires</w:t>
            </w:r>
          </w:p>
          <w:p w14:paraId="5FE46C7F" w14:textId="327A6744" w:rsidR="00DA6ABB" w:rsidRPr="00834834" w:rsidRDefault="00DA6ABB" w:rsidP="00561DB2">
            <w:pPr>
              <w:rPr>
                <w:lang w:val="fr-BE"/>
              </w:rPr>
            </w:pPr>
            <w:r w:rsidRPr="00834834">
              <w:rPr>
                <w:lang w:val="fr-BE"/>
              </w:rPr>
              <w:t>Les correspondants comptables soumettent les comptes individuels provisoires au comptable pour le 1er mars de l’exercice financier suivant au plus tard.</w:t>
            </w:r>
          </w:p>
          <w:p w14:paraId="6075D736" w14:textId="53381F50" w:rsidR="004A2404" w:rsidRPr="00834834" w:rsidRDefault="004A2404" w:rsidP="007673A5">
            <w:pPr>
              <w:pStyle w:val="Subtitle"/>
              <w:rPr>
                <w:bCs/>
                <w:lang w:val="fr-BE"/>
              </w:rPr>
            </w:pPr>
            <w:r w:rsidRPr="00834834">
              <w:rPr>
                <w:lang w:val="fr-BE"/>
              </w:rPr>
              <w:t>Article 72</w:t>
            </w:r>
          </w:p>
          <w:p w14:paraId="23CE2B1B" w14:textId="77777777" w:rsidR="004A2404" w:rsidRPr="00834834" w:rsidRDefault="004A2404" w:rsidP="007673A5">
            <w:pPr>
              <w:pStyle w:val="Subtitle"/>
              <w:rPr>
                <w:bCs/>
                <w:lang w:val="fr-BE"/>
              </w:rPr>
            </w:pPr>
            <w:r w:rsidRPr="00834834">
              <w:rPr>
                <w:lang w:val="fr-BE"/>
              </w:rPr>
              <w:t>Comptes consolidés provisoires</w:t>
            </w:r>
          </w:p>
          <w:p w14:paraId="37586148" w14:textId="1CEE4588" w:rsidR="004A2404" w:rsidRPr="00834834" w:rsidRDefault="004A2404" w:rsidP="00561DB2">
            <w:pPr>
              <w:rPr>
                <w:rFonts w:asciiTheme="minorHAnsi" w:hAnsiTheme="minorHAnsi" w:cstheme="minorHAnsi"/>
                <w:bCs/>
                <w:lang w:val="fr-BE"/>
              </w:rPr>
            </w:pPr>
            <w:r w:rsidRPr="00834834">
              <w:rPr>
                <w:lang w:val="fr-BE"/>
              </w:rPr>
              <w:t>Le comptable envoie les comptes provisoires consolidés à la Cour des comptes pour le 1er mai de l</w:t>
            </w:r>
            <w:r w:rsidR="00D0034C" w:rsidRPr="00834834">
              <w:rPr>
                <w:lang w:val="fr-BE"/>
              </w:rPr>
              <w:t>’</w:t>
            </w:r>
            <w:r w:rsidRPr="00834834">
              <w:rPr>
                <w:lang w:val="fr-BE"/>
              </w:rPr>
              <w:t>année suivante au plus tard.</w:t>
            </w:r>
            <w:r w:rsidR="00955898" w:rsidRPr="00834834">
              <w:rPr>
                <w:lang w:val="fr-BE"/>
              </w:rPr>
              <w:t xml:space="preserve"> Ceux-ci sont accompagnés des comptes individuels provisoires de toutes les Écoles et du Bureau du Secrétaire général.</w:t>
            </w:r>
          </w:p>
          <w:p w14:paraId="5498E304" w14:textId="2B161974" w:rsidR="004A2404" w:rsidRPr="00834834" w:rsidRDefault="004A2404" w:rsidP="007673A5">
            <w:pPr>
              <w:pStyle w:val="Subtitle"/>
              <w:rPr>
                <w:bCs/>
                <w:lang w:val="fr-BE"/>
              </w:rPr>
            </w:pPr>
            <w:r w:rsidRPr="00834834">
              <w:rPr>
                <w:lang w:val="fr-BE"/>
              </w:rPr>
              <w:t>Article</w:t>
            </w:r>
            <w:r w:rsidR="00D0034C" w:rsidRPr="00834834">
              <w:rPr>
                <w:lang w:val="fr-BE"/>
              </w:rPr>
              <w:t> </w:t>
            </w:r>
            <w:r w:rsidRPr="00834834">
              <w:rPr>
                <w:lang w:val="fr-BE"/>
              </w:rPr>
              <w:t>73</w:t>
            </w:r>
          </w:p>
          <w:p w14:paraId="084A04D2" w14:textId="49F8FDDA" w:rsidR="004A2404" w:rsidRPr="00834834" w:rsidRDefault="00955898" w:rsidP="007673A5">
            <w:pPr>
              <w:pStyle w:val="Subtitle"/>
              <w:rPr>
                <w:bCs/>
                <w:lang w:val="fr-BE"/>
              </w:rPr>
            </w:pPr>
            <w:r w:rsidRPr="00834834">
              <w:rPr>
                <w:lang w:val="fr-BE"/>
              </w:rPr>
              <w:t>Comptes individuels définitifs et c</w:t>
            </w:r>
            <w:r w:rsidR="004A2404" w:rsidRPr="00834834">
              <w:rPr>
                <w:lang w:val="fr-BE"/>
              </w:rPr>
              <w:t>omptes consolidés définitifs</w:t>
            </w:r>
          </w:p>
          <w:p w14:paraId="1AA7A324" w14:textId="6B27DA7E" w:rsidR="004A2404" w:rsidRPr="00561DB2" w:rsidRDefault="004A2404" w:rsidP="00ED4F09">
            <w:pPr>
              <w:pStyle w:val="ListParagraph"/>
              <w:numPr>
                <w:ilvl w:val="0"/>
                <w:numId w:val="97"/>
              </w:numPr>
            </w:pPr>
            <w:r w:rsidRPr="00561DB2">
              <w:t>La Cour des comptes formule des observations sur les comptes provisoires des Écoles européennes pour le 1er juillet.</w:t>
            </w:r>
          </w:p>
          <w:p w14:paraId="11C5DC00" w14:textId="72F5FC4C" w:rsidR="00955898" w:rsidRPr="00561DB2" w:rsidRDefault="00955898" w:rsidP="00ED4F09">
            <w:pPr>
              <w:pStyle w:val="ListParagraph"/>
              <w:numPr>
                <w:ilvl w:val="0"/>
                <w:numId w:val="97"/>
              </w:numPr>
            </w:pPr>
            <w:r w:rsidRPr="00561DB2">
              <w:t>À la réception des observations de la Cour des comptes sur les comptes provisoires des Écoles européennes, le comptable établit sur la base des informations présentées en vertu de l’article </w:t>
            </w:r>
            <w:proofErr w:type="gramStart"/>
            <w:r w:rsidRPr="00561DB2">
              <w:t>35:</w:t>
            </w:r>
            <w:proofErr w:type="gramEnd"/>
          </w:p>
          <w:p w14:paraId="7C3966D1" w14:textId="277EB026" w:rsidR="00955898" w:rsidRPr="00834834" w:rsidRDefault="00955898" w:rsidP="00ED4F09">
            <w:pPr>
              <w:pStyle w:val="numbering2"/>
              <w:numPr>
                <w:ilvl w:val="0"/>
                <w:numId w:val="98"/>
              </w:numPr>
              <w:ind w:left="2153"/>
            </w:pPr>
            <w:proofErr w:type="gramStart"/>
            <w:r w:rsidRPr="00834834">
              <w:lastRenderedPageBreak/>
              <w:t>les</w:t>
            </w:r>
            <w:proofErr w:type="gramEnd"/>
            <w:r w:rsidRPr="00834834">
              <w:t xml:space="preserve"> comptes définitifs individuels, à soumettre à l’approbation du Conseil d’administration concerné pour le 25 juillet au plus tard, ou du Secrétaire général, dans le cas du Bureau du Secrétaire général, pour le 7 septembre.</w:t>
            </w:r>
          </w:p>
          <w:p w14:paraId="412A661F" w14:textId="4CC117E1" w:rsidR="00955898" w:rsidRPr="00834834" w:rsidRDefault="00955898" w:rsidP="00ED4F09">
            <w:pPr>
              <w:pStyle w:val="numbering2"/>
              <w:numPr>
                <w:ilvl w:val="0"/>
                <w:numId w:val="98"/>
              </w:numPr>
              <w:ind w:left="2153"/>
            </w:pPr>
            <w:proofErr w:type="gramStart"/>
            <w:r w:rsidRPr="00834834">
              <w:t>les</w:t>
            </w:r>
            <w:proofErr w:type="gramEnd"/>
            <w:r w:rsidRPr="00834834">
              <w:t xml:space="preserve"> comptes définitifs consolidés, pour toutes les Écoles et pour le Bureau du Secrétaire général, pour le 15 septembre de l’exercice suivant au plus tard.</w:t>
            </w:r>
          </w:p>
          <w:p w14:paraId="479E3B5B" w14:textId="094BD2E8" w:rsidR="00955898" w:rsidRPr="00834834" w:rsidRDefault="00955898" w:rsidP="00561DB2">
            <w:pPr>
              <w:rPr>
                <w:lang w:val="fr-BE"/>
              </w:rPr>
            </w:pPr>
            <w:r w:rsidRPr="00834834">
              <w:rPr>
                <w:lang w:val="fr-BE"/>
              </w:rPr>
              <w:t>Les comptes définitifs, tant les comptes individuels que les comptes consolidés, sont accompagnés d’une note rédigée par le comptable, dans laquelle ce dernier déclare que les comptes définitifs ont été établis conformément au présent Titre et aux principes, règles et méthodes comptables exposés dans les notes afférentes aux états financiers</w:t>
            </w:r>
            <w:r w:rsidR="004A2404" w:rsidRPr="00834834">
              <w:rPr>
                <w:lang w:val="fr-BE"/>
              </w:rPr>
              <w:t>.</w:t>
            </w:r>
          </w:p>
          <w:p w14:paraId="0BE4BDFC" w14:textId="7408E0DF" w:rsidR="00693963" w:rsidRPr="00561DB2" w:rsidRDefault="004A2404" w:rsidP="00ED4F09">
            <w:pPr>
              <w:pStyle w:val="ListParagraph"/>
              <w:numPr>
                <w:ilvl w:val="0"/>
                <w:numId w:val="97"/>
              </w:numPr>
            </w:pPr>
            <w:r w:rsidRPr="00561DB2">
              <w:t>Le Secrétaire général transmet au Conseil supérieur, à la Commission européenne, à l</w:t>
            </w:r>
            <w:r w:rsidR="00D0034C" w:rsidRPr="00561DB2">
              <w:t>’</w:t>
            </w:r>
            <w:r w:rsidRPr="00561DB2">
              <w:t>Office européen des brevets et à la Cour des comptes de l</w:t>
            </w:r>
            <w:r w:rsidR="00D0034C" w:rsidRPr="00561DB2">
              <w:t>’</w:t>
            </w:r>
            <w:r w:rsidRPr="00561DB2">
              <w:t xml:space="preserve">Union européenne, le </w:t>
            </w:r>
            <w:r w:rsidR="00955898" w:rsidRPr="00561DB2">
              <w:t>15 septembre</w:t>
            </w:r>
            <w:r w:rsidRPr="00561DB2">
              <w:t xml:space="preserve"> au plus tard, les comptes consolidés définitifs avec l</w:t>
            </w:r>
            <w:r w:rsidR="00D0034C" w:rsidRPr="00561DB2">
              <w:t>’</w:t>
            </w:r>
            <w:r w:rsidRPr="00561DB2">
              <w:t>ensemble des pièces justificatives, l</w:t>
            </w:r>
            <w:r w:rsidR="00D0034C" w:rsidRPr="00561DB2">
              <w:t>’</w:t>
            </w:r>
            <w:r w:rsidRPr="00561DB2">
              <w:t>analyse de la gestion financière et le bilan financier.</w:t>
            </w:r>
          </w:p>
          <w:p w14:paraId="433A938E" w14:textId="13A7D302" w:rsidR="004A2404" w:rsidRPr="00561DB2" w:rsidRDefault="004A2404" w:rsidP="00ED4F09">
            <w:pPr>
              <w:pStyle w:val="ListParagraph"/>
              <w:numPr>
                <w:ilvl w:val="0"/>
                <w:numId w:val="97"/>
              </w:numPr>
            </w:pPr>
            <w:r w:rsidRPr="00561DB2">
              <w:t>Les comptes consolidés définitifs sont publiés sur le site Internet des Écoles européennes et mis à la disposition du grand public pour le 30 novembre.</w:t>
            </w:r>
          </w:p>
          <w:p w14:paraId="393B7565" w14:textId="6FF3BCBA" w:rsidR="004A2404"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 xml:space="preserve">74 </w:t>
            </w:r>
          </w:p>
          <w:p w14:paraId="60653ACD" w14:textId="77777777" w:rsidR="00955898" w:rsidRPr="00834834" w:rsidRDefault="00955898" w:rsidP="007673A5">
            <w:pPr>
              <w:pStyle w:val="Subtitle"/>
              <w:rPr>
                <w:lang w:val="fr-BE"/>
              </w:rPr>
            </w:pPr>
            <w:r w:rsidRPr="00834834">
              <w:rPr>
                <w:lang w:val="fr-BE"/>
              </w:rPr>
              <w:t>Communication à la Cour des comptes d’informations financières et budgétaires. Droit d’accès de la Cour des comptes</w:t>
            </w:r>
          </w:p>
          <w:p w14:paraId="24697147" w14:textId="77777777" w:rsidR="00955898" w:rsidRPr="003F454C" w:rsidRDefault="00955898" w:rsidP="007673A5">
            <w:pPr>
              <w:rPr>
                <w:lang w:val="fr-BE"/>
              </w:rPr>
            </w:pPr>
            <w:r w:rsidRPr="00561DB2">
              <w:rPr>
                <w:lang w:val="fr-BE"/>
              </w:rPr>
              <w:t xml:space="preserve">Les dispositions prévues aux autres articles de la présente section s’entendent sans préjudice de la possibilité pour la Cour des comptes de demander à un stade antérieur les comptes individuels provisoires de certaines écoles ou du Bureau du Secrétaire général et, d’une manière générale, de l’accès qui est accordé à la Cour des comptes aux sites et locaux des écoles et du Bureau du Secrétaire général, ainsi qu’à </w:t>
            </w:r>
            <w:r w:rsidRPr="0039221D">
              <w:rPr>
                <w:lang w:val="fr-BE"/>
              </w:rPr>
              <w:t>toutes les données et informations, y compris sous forme électronique, nécessaires à l’exercice de ses fonctions. En particulier, les informations à transmettre à la Cour des comptes conformément à l’article 73, paragraphe 3, comprennent également</w:t>
            </w:r>
            <w:r w:rsidRPr="003F454C">
              <w:rPr>
                <w:lang w:val="fr-BE"/>
              </w:rPr>
              <w:t xml:space="preserve"> les procès-verbaux des délibérations des Conseils d’administration concernant l’approbation des comptes individuels correspondants.</w:t>
            </w:r>
          </w:p>
          <w:p w14:paraId="365CDAF6" w14:textId="55469337" w:rsidR="004A2404" w:rsidRPr="00834834" w:rsidRDefault="004A2404" w:rsidP="00561DB2">
            <w:pPr>
              <w:pStyle w:val="Heading2"/>
            </w:pPr>
            <w:r w:rsidRPr="00834834">
              <w:t>SECTION II</w:t>
            </w:r>
          </w:p>
          <w:p w14:paraId="2348EBAE" w14:textId="77777777" w:rsidR="006D3B43" w:rsidRPr="00834834" w:rsidRDefault="006D3B43" w:rsidP="00561DB2">
            <w:pPr>
              <w:pStyle w:val="Heading2"/>
            </w:pPr>
            <w:r w:rsidRPr="00834834">
              <w:t>COMPTABILITÉ</w:t>
            </w:r>
          </w:p>
          <w:p w14:paraId="3F8643A9" w14:textId="09DB455F" w:rsidR="004A2404"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75</w:t>
            </w:r>
          </w:p>
          <w:p w14:paraId="1CDE6EE2" w14:textId="77777777" w:rsidR="004A2404" w:rsidRPr="00834834" w:rsidRDefault="004A2404" w:rsidP="007673A5">
            <w:pPr>
              <w:pStyle w:val="Subtitle"/>
              <w:rPr>
                <w:lang w:val="fr-BE"/>
              </w:rPr>
            </w:pPr>
            <w:r w:rsidRPr="00834834">
              <w:rPr>
                <w:lang w:val="fr-BE"/>
              </w:rPr>
              <w:t>Le système comptable</w:t>
            </w:r>
          </w:p>
          <w:p w14:paraId="1C508854" w14:textId="09D54565" w:rsidR="004A2404" w:rsidRPr="00834834" w:rsidRDefault="004A2404" w:rsidP="00ED4F09">
            <w:pPr>
              <w:pStyle w:val="ListParagraph"/>
              <w:numPr>
                <w:ilvl w:val="0"/>
                <w:numId w:val="99"/>
              </w:numPr>
            </w:pPr>
            <w:r w:rsidRPr="00834834">
              <w:t xml:space="preserve">Le système comptable des Écoles européennes a pour objet d’organiser l’information budgétaire et financière permettant de saisir, classer et enregistrer des données chiffrées. </w:t>
            </w:r>
          </w:p>
          <w:p w14:paraId="588AC925" w14:textId="55D3F6E7" w:rsidR="00B32B5E" w:rsidRPr="00834834" w:rsidRDefault="00F85DD3" w:rsidP="00ED4F09">
            <w:pPr>
              <w:pStyle w:val="ListParagraph"/>
              <w:numPr>
                <w:ilvl w:val="0"/>
                <w:numId w:val="99"/>
              </w:numPr>
            </w:pPr>
            <w:r w:rsidRPr="00834834">
              <w:t>Le système comptable comporte deux parties distinctes :</w:t>
            </w:r>
          </w:p>
          <w:p w14:paraId="5F5366FB" w14:textId="3F131E3E" w:rsidR="00B32B5E" w:rsidRPr="00834834" w:rsidRDefault="00B32B5E" w:rsidP="00ED4F09">
            <w:pPr>
              <w:pStyle w:val="numbering2"/>
              <w:numPr>
                <w:ilvl w:val="2"/>
                <w:numId w:val="100"/>
              </w:numPr>
            </w:pPr>
            <w:proofErr w:type="gramStart"/>
            <w:r w:rsidRPr="00834834">
              <w:t>la</w:t>
            </w:r>
            <w:proofErr w:type="gramEnd"/>
            <w:r w:rsidRPr="00834834">
              <w:t xml:space="preserve"> comptabilité budgétaire et extrabudgétaire ;</w:t>
            </w:r>
          </w:p>
          <w:p w14:paraId="1DA2A385" w14:textId="5B7BFD40" w:rsidR="00B32B5E" w:rsidRPr="00834834" w:rsidRDefault="00B32B5E" w:rsidP="00ED4F09">
            <w:pPr>
              <w:pStyle w:val="numbering2"/>
              <w:numPr>
                <w:ilvl w:val="2"/>
                <w:numId w:val="100"/>
              </w:numPr>
            </w:pPr>
            <w:proofErr w:type="gramStart"/>
            <w:r w:rsidRPr="00834834">
              <w:t>la</w:t>
            </w:r>
            <w:proofErr w:type="gramEnd"/>
            <w:r w:rsidRPr="00834834">
              <w:t xml:space="preserve"> comptabilité générale.</w:t>
            </w:r>
          </w:p>
          <w:p w14:paraId="0367F438" w14:textId="7D12970C" w:rsidR="004A2404" w:rsidRPr="00834834" w:rsidRDefault="00F85DD3" w:rsidP="00ED4F09">
            <w:pPr>
              <w:pStyle w:val="ListParagraph"/>
              <w:numPr>
                <w:ilvl w:val="0"/>
                <w:numId w:val="99"/>
              </w:numPr>
            </w:pPr>
            <w:r w:rsidRPr="00834834">
              <w:t>La comptabilité est tenue en euros, par année civile, suivant la méthode dite «</w:t>
            </w:r>
            <w:r w:rsidR="00D0034C" w:rsidRPr="00834834">
              <w:t> </w:t>
            </w:r>
            <w:r w:rsidRPr="00834834">
              <w:t>en partie double</w:t>
            </w:r>
            <w:r w:rsidR="00D0034C" w:rsidRPr="00834834">
              <w:t> </w:t>
            </w:r>
            <w:r w:rsidRPr="00834834">
              <w:t>».</w:t>
            </w:r>
          </w:p>
          <w:p w14:paraId="4610C616" w14:textId="34F0C21C" w:rsidR="004A2404" w:rsidRDefault="00B32B5E" w:rsidP="00ED4F09">
            <w:pPr>
              <w:pStyle w:val="ListParagraph"/>
              <w:numPr>
                <w:ilvl w:val="0"/>
                <w:numId w:val="99"/>
              </w:numPr>
            </w:pPr>
            <w:r w:rsidRPr="00834834">
              <w:t>Les comptes retracent l</w:t>
            </w:r>
            <w:r w:rsidR="00D0034C" w:rsidRPr="00834834">
              <w:t>’</w:t>
            </w:r>
            <w:r w:rsidRPr="00834834">
              <w:t>intégralité des recettes et des dépenses de l</w:t>
            </w:r>
            <w:r w:rsidR="00D0034C" w:rsidRPr="00834834">
              <w:t>’</w:t>
            </w:r>
            <w:r w:rsidRPr="00834834">
              <w:t xml:space="preserve">exercice. Les comptes sont appuyés des pièces justificatives. Le compte de </w:t>
            </w:r>
            <w:r w:rsidR="007F217A" w:rsidRPr="00834834">
              <w:t>résultat</w:t>
            </w:r>
            <w:r w:rsidRPr="00834834">
              <w:t xml:space="preserve"> et le bilan financier sont présentés en euros.</w:t>
            </w:r>
          </w:p>
          <w:p w14:paraId="13537561" w14:textId="77777777" w:rsidR="0039221D" w:rsidRPr="003F454C" w:rsidRDefault="0039221D" w:rsidP="0039221D">
            <w:pPr>
              <w:rPr>
                <w:lang w:val="fr-BE"/>
              </w:rPr>
            </w:pPr>
          </w:p>
          <w:p w14:paraId="0C8C073F" w14:textId="3C00F2E7" w:rsidR="004A2404" w:rsidRPr="00834834" w:rsidRDefault="004A2404" w:rsidP="007673A5">
            <w:pPr>
              <w:pStyle w:val="Subtitle"/>
              <w:rPr>
                <w:strike/>
                <w:lang w:val="fr-BE"/>
              </w:rPr>
            </w:pPr>
            <w:r w:rsidRPr="00834834">
              <w:rPr>
                <w:lang w:val="fr-BE"/>
              </w:rPr>
              <w:lastRenderedPageBreak/>
              <w:t>Article</w:t>
            </w:r>
            <w:r w:rsidR="00D0034C" w:rsidRPr="00834834">
              <w:rPr>
                <w:lang w:val="fr-BE"/>
              </w:rPr>
              <w:t> </w:t>
            </w:r>
            <w:r w:rsidRPr="00834834">
              <w:rPr>
                <w:lang w:val="fr-BE"/>
              </w:rPr>
              <w:t>76</w:t>
            </w:r>
          </w:p>
          <w:p w14:paraId="72FEB9C6" w14:textId="77777777" w:rsidR="004A2404" w:rsidRPr="00834834" w:rsidRDefault="004A2404" w:rsidP="007673A5">
            <w:pPr>
              <w:pStyle w:val="Subtitle"/>
              <w:rPr>
                <w:lang w:val="fr-BE"/>
              </w:rPr>
            </w:pPr>
            <w:r w:rsidRPr="00834834">
              <w:rPr>
                <w:lang w:val="fr-BE"/>
              </w:rPr>
              <w:t>Les comptes généraux</w:t>
            </w:r>
          </w:p>
          <w:p w14:paraId="3129E27B" w14:textId="265CF159" w:rsidR="00D80FAD" w:rsidRPr="00834834" w:rsidRDefault="00D567A0" w:rsidP="00ED4F09">
            <w:pPr>
              <w:pStyle w:val="ListParagraph"/>
              <w:numPr>
                <w:ilvl w:val="0"/>
                <w:numId w:val="101"/>
              </w:numPr>
            </w:pPr>
            <w:r w:rsidRPr="00834834">
              <w:t>La comptabilité générale retrace, de façon chronologique selon la méthode à double entrée, tous les événements et opérations qui affectent la situation économique, financière et patrimoniale des Écoles européennes, selon le principe de la comptabilité d’exercice. Elle permet d</w:t>
            </w:r>
            <w:r w:rsidR="00D0034C" w:rsidRPr="00834834">
              <w:t>’</w:t>
            </w:r>
            <w:r w:rsidRPr="00834834">
              <w:t>établir la situation active et passive des Écoles et du Bureau du Secrétaire général.</w:t>
            </w:r>
          </w:p>
          <w:p w14:paraId="2EE264C6" w14:textId="7611E5E6" w:rsidR="00D80FAD" w:rsidRPr="00834834" w:rsidRDefault="00D80FAD" w:rsidP="00ED4F09">
            <w:pPr>
              <w:pStyle w:val="ListParagraph"/>
              <w:numPr>
                <w:ilvl w:val="0"/>
                <w:numId w:val="101"/>
              </w:numPr>
            </w:pPr>
            <w:r w:rsidRPr="00834834">
              <w:t>Les soldes ainsi que les différents mouvements sur les comptes généraux sont inscrits dans les livres comptables.</w:t>
            </w:r>
          </w:p>
          <w:p w14:paraId="3E40BC79" w14:textId="27AD9607" w:rsidR="00D80FAD" w:rsidRPr="00834834" w:rsidRDefault="00D80FAD" w:rsidP="00ED4F09">
            <w:pPr>
              <w:pStyle w:val="ListParagraph"/>
              <w:numPr>
                <w:ilvl w:val="0"/>
                <w:numId w:val="101"/>
              </w:numPr>
            </w:pPr>
            <w:r w:rsidRPr="00834834">
              <w:t>Toute écriture comptable s’appuie sur des pièces justificatives auxquelles elle fait référence.</w:t>
            </w:r>
          </w:p>
          <w:p w14:paraId="548B3ECE" w14:textId="49614C8E" w:rsidR="00D80FAD" w:rsidRPr="00834834" w:rsidRDefault="00D80FAD" w:rsidP="00ED4F09">
            <w:pPr>
              <w:pStyle w:val="ListParagraph"/>
              <w:numPr>
                <w:ilvl w:val="0"/>
                <w:numId w:val="101"/>
              </w:numPr>
            </w:pPr>
            <w:r w:rsidRPr="00834834">
              <w:t>Le système comptable permet de retracer clairement toutes les écritures comptables.</w:t>
            </w:r>
          </w:p>
          <w:p w14:paraId="7CF53E4C" w14:textId="34C2BE66" w:rsidR="00D80FAD" w:rsidRPr="00834834" w:rsidRDefault="00D80FAD" w:rsidP="00ED4F09">
            <w:pPr>
              <w:pStyle w:val="ListParagraph"/>
              <w:numPr>
                <w:ilvl w:val="0"/>
                <w:numId w:val="101"/>
              </w:numPr>
            </w:pPr>
            <w:r w:rsidRPr="00834834">
              <w:t>Le plan comptable de la comptabilité générale est établi selon un système de classification décimale.</w:t>
            </w:r>
          </w:p>
          <w:p w14:paraId="6763E52A" w14:textId="2E0F2E97" w:rsidR="00D80FAD" w:rsidRPr="00834834" w:rsidRDefault="00D80FAD" w:rsidP="00ED4F09">
            <w:pPr>
              <w:pStyle w:val="ListParagraph"/>
              <w:numPr>
                <w:ilvl w:val="0"/>
                <w:numId w:val="101"/>
              </w:numPr>
            </w:pPr>
            <w:r w:rsidRPr="00834834">
              <w:t>Le cadre comptable comporte les classes suivantes :</w:t>
            </w:r>
          </w:p>
          <w:p w14:paraId="7E5B6A53" w14:textId="77777777" w:rsidR="00D80FAD" w:rsidRPr="00834834" w:rsidRDefault="00D80FAD" w:rsidP="00561DB2">
            <w:pPr>
              <w:rPr>
                <w:lang w:val="fr-BE"/>
              </w:rPr>
            </w:pPr>
            <w:r w:rsidRPr="00834834">
              <w:rPr>
                <w:lang w:val="fr-BE"/>
              </w:rPr>
              <w:t>Classe 1 :</w:t>
            </w:r>
            <w:r w:rsidRPr="00834834">
              <w:rPr>
                <w:lang w:val="fr-BE"/>
              </w:rPr>
              <w:tab/>
              <w:t>Comptes de capitaux permanents</w:t>
            </w:r>
          </w:p>
          <w:p w14:paraId="140AEBD7" w14:textId="77777777" w:rsidR="00D80FAD" w:rsidRPr="00834834" w:rsidRDefault="00D80FAD" w:rsidP="00561DB2">
            <w:pPr>
              <w:rPr>
                <w:lang w:val="fr-BE"/>
              </w:rPr>
            </w:pPr>
            <w:r w:rsidRPr="00834834">
              <w:rPr>
                <w:lang w:val="fr-BE"/>
              </w:rPr>
              <w:t>Classe 2 :</w:t>
            </w:r>
            <w:r w:rsidRPr="00834834">
              <w:rPr>
                <w:lang w:val="fr-BE"/>
              </w:rPr>
              <w:tab/>
              <w:t>Comptes de valeurs immobilisées </w:t>
            </w:r>
            <w:r w:rsidRPr="00834834">
              <w:rPr>
                <w:rStyle w:val="Corpsdutexte"/>
                <w:rFonts w:ascii="Times New Roman" w:hAnsi="Times New Roman" w:cs="Times New Roman"/>
                <w:sz w:val="24"/>
                <w:szCs w:val="24"/>
                <w:lang w:val="fr-BE"/>
              </w:rPr>
              <w:t>; amortissements</w:t>
            </w:r>
          </w:p>
          <w:p w14:paraId="020649FC" w14:textId="77777777" w:rsidR="00D80FAD" w:rsidRPr="00834834" w:rsidRDefault="00D80FAD" w:rsidP="00561DB2">
            <w:pPr>
              <w:rPr>
                <w:lang w:val="fr-BE"/>
              </w:rPr>
            </w:pPr>
            <w:r w:rsidRPr="00834834">
              <w:rPr>
                <w:lang w:val="fr-BE"/>
              </w:rPr>
              <w:t>Classe 3 :</w:t>
            </w:r>
            <w:r w:rsidRPr="00834834">
              <w:rPr>
                <w:lang w:val="fr-BE"/>
              </w:rPr>
              <w:tab/>
              <w:t>Comptes de stocks</w:t>
            </w:r>
          </w:p>
          <w:p w14:paraId="465108D6" w14:textId="77777777" w:rsidR="00D80FAD" w:rsidRPr="00834834" w:rsidRDefault="00D80FAD" w:rsidP="00561DB2">
            <w:pPr>
              <w:rPr>
                <w:lang w:val="fr-BE"/>
              </w:rPr>
            </w:pPr>
            <w:r w:rsidRPr="00834834">
              <w:rPr>
                <w:lang w:val="fr-BE"/>
              </w:rPr>
              <w:t>Classe 4 :</w:t>
            </w:r>
            <w:r w:rsidRPr="00834834">
              <w:rPr>
                <w:lang w:val="fr-BE"/>
              </w:rPr>
              <w:tab/>
              <w:t>Comptes de tiers </w:t>
            </w:r>
            <w:r w:rsidRPr="00834834">
              <w:rPr>
                <w:rStyle w:val="Corpsdutexte"/>
                <w:rFonts w:ascii="Times New Roman" w:hAnsi="Times New Roman" w:cs="Times New Roman"/>
                <w:sz w:val="24"/>
                <w:szCs w:val="24"/>
                <w:lang w:val="fr-BE"/>
              </w:rPr>
              <w:t>; comptes de régularisation ; reports</w:t>
            </w:r>
          </w:p>
          <w:p w14:paraId="2DCCCDBE" w14:textId="77777777" w:rsidR="00D80FAD" w:rsidRPr="00834834" w:rsidRDefault="00D80FAD" w:rsidP="00561DB2">
            <w:pPr>
              <w:rPr>
                <w:lang w:val="fr-BE"/>
              </w:rPr>
            </w:pPr>
            <w:r w:rsidRPr="00834834">
              <w:rPr>
                <w:lang w:val="fr-BE"/>
              </w:rPr>
              <w:t>Classe 5 :</w:t>
            </w:r>
            <w:r w:rsidRPr="00834834">
              <w:rPr>
                <w:lang w:val="fr-BE"/>
              </w:rPr>
              <w:tab/>
              <w:t>Comptes financiers</w:t>
            </w:r>
          </w:p>
          <w:p w14:paraId="24FDADE5" w14:textId="77777777" w:rsidR="00D80FAD" w:rsidRPr="00834834" w:rsidRDefault="00D80FAD" w:rsidP="00561DB2">
            <w:pPr>
              <w:rPr>
                <w:lang w:val="fr-BE"/>
              </w:rPr>
            </w:pPr>
            <w:r w:rsidRPr="00834834">
              <w:rPr>
                <w:lang w:val="fr-BE"/>
              </w:rPr>
              <w:t>Classe 6 :</w:t>
            </w:r>
            <w:r w:rsidRPr="00834834">
              <w:rPr>
                <w:lang w:val="fr-BE"/>
              </w:rPr>
              <w:tab/>
              <w:t>Comptes de charges</w:t>
            </w:r>
          </w:p>
          <w:p w14:paraId="3304E2B0" w14:textId="77777777" w:rsidR="00D80FAD" w:rsidRPr="00834834" w:rsidRDefault="00D80FAD" w:rsidP="00561DB2">
            <w:pPr>
              <w:rPr>
                <w:lang w:val="fr-BE"/>
              </w:rPr>
            </w:pPr>
            <w:r w:rsidRPr="00834834">
              <w:rPr>
                <w:lang w:val="fr-BE"/>
              </w:rPr>
              <w:t>Classe 7 :</w:t>
            </w:r>
            <w:r w:rsidRPr="00834834">
              <w:rPr>
                <w:lang w:val="fr-BE"/>
              </w:rPr>
              <w:tab/>
              <w:t>Comptes de produits</w:t>
            </w:r>
          </w:p>
          <w:p w14:paraId="5D795220" w14:textId="77777777" w:rsidR="00D80FAD" w:rsidRPr="00834834" w:rsidRDefault="00D80FAD" w:rsidP="00561DB2">
            <w:pPr>
              <w:rPr>
                <w:lang w:val="fr-BE"/>
              </w:rPr>
            </w:pPr>
            <w:r w:rsidRPr="00834834">
              <w:rPr>
                <w:lang w:val="fr-BE"/>
              </w:rPr>
              <w:t>Classe 8 :</w:t>
            </w:r>
            <w:r w:rsidRPr="00834834">
              <w:rPr>
                <w:lang w:val="fr-BE"/>
              </w:rPr>
              <w:tab/>
              <w:t>Comptes de résultats</w:t>
            </w:r>
          </w:p>
          <w:p w14:paraId="12508DD0" w14:textId="77777777" w:rsidR="00D80FAD" w:rsidRPr="00834834" w:rsidRDefault="00D80FAD" w:rsidP="00561DB2">
            <w:pPr>
              <w:rPr>
                <w:lang w:val="fr-BE"/>
              </w:rPr>
            </w:pPr>
            <w:r w:rsidRPr="00834834">
              <w:rPr>
                <w:lang w:val="fr-BE"/>
              </w:rPr>
              <w:t>Classe 9 :</w:t>
            </w:r>
            <w:r w:rsidRPr="00834834">
              <w:rPr>
                <w:lang w:val="fr-BE"/>
              </w:rPr>
              <w:tab/>
              <w:t>Virements en instance.</w:t>
            </w:r>
          </w:p>
          <w:p w14:paraId="375D2587" w14:textId="6D4854D2" w:rsidR="00D80FAD" w:rsidRPr="00834834" w:rsidRDefault="00D80FAD" w:rsidP="00ED4F09">
            <w:pPr>
              <w:pStyle w:val="ListParagraph"/>
              <w:numPr>
                <w:ilvl w:val="0"/>
                <w:numId w:val="101"/>
              </w:numPr>
            </w:pPr>
            <w:r w:rsidRPr="00834834">
              <w:t>Chaque classe comporte des groupes (à deux chiffres), lesquels sont divisés en sous-groupes (à trois chiffres), eux-mêmes subdivisés en comptes (à cinq chiffres).</w:t>
            </w:r>
          </w:p>
          <w:p w14:paraId="0B757208" w14:textId="0AEAE5B7" w:rsidR="00D80FAD" w:rsidRPr="00834834" w:rsidRDefault="00494C87" w:rsidP="00ED4F09">
            <w:pPr>
              <w:pStyle w:val="ListParagraph"/>
              <w:numPr>
                <w:ilvl w:val="0"/>
                <w:numId w:val="101"/>
              </w:numPr>
            </w:pPr>
            <w:r w:rsidRPr="00834834">
              <w:t>La classe 4 «</w:t>
            </w:r>
            <w:r w:rsidR="00D0034C" w:rsidRPr="00834834">
              <w:t> </w:t>
            </w:r>
            <w:r w:rsidRPr="00834834">
              <w:t>comptes de tiers</w:t>
            </w:r>
            <w:r w:rsidR="00D0034C" w:rsidRPr="00834834">
              <w:t> </w:t>
            </w:r>
            <w:r w:rsidRPr="00834834">
              <w:t>» enregistre toutes les opérations concernant les relations avec les tiers et les écritures de régularisation.</w:t>
            </w:r>
          </w:p>
          <w:p w14:paraId="33A4430C" w14:textId="77777777" w:rsidR="00D80FAD" w:rsidRPr="00834834" w:rsidRDefault="00D80FAD" w:rsidP="00561DB2">
            <w:pPr>
              <w:rPr>
                <w:lang w:val="fr-BE"/>
              </w:rPr>
            </w:pPr>
            <w:r w:rsidRPr="00834834">
              <w:rPr>
                <w:lang w:val="fr-BE"/>
              </w:rPr>
              <w:t>Les groupes principaux de la classe 4 sont les suivants :</w:t>
            </w:r>
          </w:p>
          <w:p w14:paraId="3FACE84B" w14:textId="6DB8D1A9" w:rsidR="00D80FAD" w:rsidRPr="00834834" w:rsidRDefault="00D80FAD" w:rsidP="00ED4F09">
            <w:pPr>
              <w:pStyle w:val="numbering2"/>
              <w:numPr>
                <w:ilvl w:val="2"/>
                <w:numId w:val="102"/>
              </w:numPr>
            </w:pPr>
            <w:r w:rsidRPr="00834834">
              <w:t>Avances au personnel ;</w:t>
            </w:r>
          </w:p>
          <w:p w14:paraId="67586347" w14:textId="665024CC" w:rsidR="00D80FAD" w:rsidRPr="00834834" w:rsidRDefault="00D80FAD" w:rsidP="00ED4F09">
            <w:pPr>
              <w:pStyle w:val="numbering2"/>
              <w:numPr>
                <w:ilvl w:val="2"/>
                <w:numId w:val="102"/>
              </w:numPr>
            </w:pPr>
            <w:r w:rsidRPr="00834834">
              <w:t>Comptes entre Écoles et entre les Écoles et le Bureau du Secrétaire général ;</w:t>
            </w:r>
          </w:p>
          <w:p w14:paraId="44E5996C" w14:textId="2BA08F3C" w:rsidR="00D80FAD" w:rsidRPr="00834834" w:rsidRDefault="00D80FAD" w:rsidP="00ED4F09">
            <w:pPr>
              <w:pStyle w:val="numbering2"/>
              <w:numPr>
                <w:ilvl w:val="2"/>
                <w:numId w:val="102"/>
              </w:numPr>
            </w:pPr>
            <w:r w:rsidRPr="00834834">
              <w:t>Débiteurs et créditeurs divers ;</w:t>
            </w:r>
          </w:p>
          <w:p w14:paraId="373B9D06" w14:textId="49A3C491" w:rsidR="00D80FAD" w:rsidRPr="00834834" w:rsidRDefault="00D80FAD" w:rsidP="00ED4F09">
            <w:pPr>
              <w:pStyle w:val="numbering2"/>
              <w:numPr>
                <w:ilvl w:val="2"/>
                <w:numId w:val="102"/>
              </w:numPr>
            </w:pPr>
            <w:r w:rsidRPr="00834834">
              <w:t>Fonds à transférer ;</w:t>
            </w:r>
          </w:p>
          <w:p w14:paraId="0503D263" w14:textId="2AB8CB5D" w:rsidR="00D80FAD" w:rsidRPr="00834834" w:rsidRDefault="00D80FAD" w:rsidP="00ED4F09">
            <w:pPr>
              <w:pStyle w:val="numbering2"/>
              <w:numPr>
                <w:ilvl w:val="2"/>
                <w:numId w:val="102"/>
              </w:numPr>
            </w:pPr>
            <w:r w:rsidRPr="00834834">
              <w:t>Recettes et dépenses à imputer ;</w:t>
            </w:r>
          </w:p>
          <w:p w14:paraId="7EAAE652" w14:textId="0E5E7CB7" w:rsidR="00D80FAD" w:rsidRPr="00834834" w:rsidRDefault="00D80FAD" w:rsidP="00ED4F09">
            <w:pPr>
              <w:pStyle w:val="numbering2"/>
              <w:numPr>
                <w:ilvl w:val="2"/>
                <w:numId w:val="102"/>
              </w:numPr>
            </w:pPr>
            <w:r w:rsidRPr="00834834">
              <w:t>Comptes d</w:t>
            </w:r>
            <w:r w:rsidR="00D0034C" w:rsidRPr="00834834">
              <w:t>’</w:t>
            </w:r>
            <w:r w:rsidRPr="00834834">
              <w:t>ordre pour réemploi ;</w:t>
            </w:r>
          </w:p>
          <w:p w14:paraId="7D52C721" w14:textId="59E3285C" w:rsidR="00D80FAD" w:rsidRPr="00834834" w:rsidRDefault="00D80FAD" w:rsidP="00ED4F09">
            <w:pPr>
              <w:pStyle w:val="numbering2"/>
              <w:numPr>
                <w:ilvl w:val="2"/>
                <w:numId w:val="102"/>
              </w:numPr>
            </w:pPr>
            <w:r w:rsidRPr="00834834">
              <w:t>Comptes de compensation ;</w:t>
            </w:r>
          </w:p>
          <w:p w14:paraId="6BAE3A31" w14:textId="7A902DE1" w:rsidR="00D80FAD" w:rsidRPr="00834834" w:rsidRDefault="00D80FAD" w:rsidP="00ED4F09">
            <w:pPr>
              <w:pStyle w:val="numbering2"/>
              <w:numPr>
                <w:ilvl w:val="2"/>
                <w:numId w:val="102"/>
              </w:numPr>
            </w:pPr>
            <w:r w:rsidRPr="00834834">
              <w:t>Taxe sur la valeur ajoutée (TVA) à récupérer ;</w:t>
            </w:r>
          </w:p>
          <w:p w14:paraId="15FB57B9" w14:textId="083D167D" w:rsidR="00D80FAD" w:rsidRPr="00834834" w:rsidRDefault="00D80FAD" w:rsidP="00ED4F09">
            <w:pPr>
              <w:pStyle w:val="numbering2"/>
              <w:numPr>
                <w:ilvl w:val="2"/>
                <w:numId w:val="102"/>
              </w:numPr>
            </w:pPr>
            <w:r w:rsidRPr="00834834">
              <w:t>Restes à recouvrer ou montants perçus en trop.</w:t>
            </w:r>
          </w:p>
          <w:p w14:paraId="666119AA" w14:textId="329884CC" w:rsidR="00D80FAD" w:rsidRPr="00834834" w:rsidRDefault="00494C87" w:rsidP="00ED4F09">
            <w:pPr>
              <w:pStyle w:val="ListParagraph"/>
              <w:numPr>
                <w:ilvl w:val="0"/>
                <w:numId w:val="101"/>
              </w:numPr>
            </w:pPr>
            <w:r w:rsidRPr="00834834">
              <w:t>La classe 5 «</w:t>
            </w:r>
            <w:r w:rsidR="00D0034C" w:rsidRPr="00834834">
              <w:t> </w:t>
            </w:r>
            <w:r w:rsidRPr="00834834">
              <w:t>comptes financiers</w:t>
            </w:r>
            <w:r w:rsidR="00D0034C" w:rsidRPr="00834834">
              <w:t> </w:t>
            </w:r>
            <w:r w:rsidRPr="00834834">
              <w:t>» enregistre les mouvements des valeurs, les opérations de caisse et de banques et les opérations effectuées par les régisseurs d</w:t>
            </w:r>
            <w:r w:rsidR="00D0034C" w:rsidRPr="00834834">
              <w:t>’</w:t>
            </w:r>
            <w:r w:rsidRPr="00834834">
              <w:t xml:space="preserve">avances. Un </w:t>
            </w:r>
            <w:r w:rsidRPr="00834834">
              <w:lastRenderedPageBreak/>
              <w:t>compte distinct est ouvert pour chaque compte bancaire, chaque caisse et chaque régie d</w:t>
            </w:r>
            <w:r w:rsidR="00D0034C" w:rsidRPr="00834834">
              <w:t>’</w:t>
            </w:r>
            <w:r w:rsidRPr="00834834">
              <w:t>avances.</w:t>
            </w:r>
          </w:p>
          <w:p w14:paraId="36227735" w14:textId="77777777" w:rsidR="00D80FAD" w:rsidRPr="00834834" w:rsidRDefault="00D80FAD" w:rsidP="00561DB2">
            <w:pPr>
              <w:pStyle w:val="ListParagraph"/>
              <w:ind w:left="1117"/>
            </w:pPr>
            <w:r w:rsidRPr="00834834">
              <w:t>Les principaux groupes de la classe 5 sont les suivants :</w:t>
            </w:r>
          </w:p>
          <w:p w14:paraId="63440E09" w14:textId="4E57C8F7" w:rsidR="00D80FAD" w:rsidRPr="00834834" w:rsidRDefault="00D80FAD" w:rsidP="00ED4F09">
            <w:pPr>
              <w:pStyle w:val="numbering2"/>
              <w:numPr>
                <w:ilvl w:val="2"/>
                <w:numId w:val="103"/>
              </w:numPr>
            </w:pPr>
            <w:r w:rsidRPr="00834834">
              <w:t>Titres et valeurs de dépôt ;</w:t>
            </w:r>
          </w:p>
          <w:p w14:paraId="44DB4AAF" w14:textId="18C57B15" w:rsidR="00D80FAD" w:rsidRPr="00834834" w:rsidRDefault="00D80FAD" w:rsidP="00ED4F09">
            <w:pPr>
              <w:pStyle w:val="numbering2"/>
              <w:numPr>
                <w:ilvl w:val="2"/>
                <w:numId w:val="103"/>
              </w:numPr>
            </w:pPr>
            <w:r w:rsidRPr="00834834">
              <w:t>Caisses ;</w:t>
            </w:r>
          </w:p>
          <w:p w14:paraId="2BCCE621" w14:textId="6B0F95D0" w:rsidR="00D80FAD" w:rsidRPr="00834834" w:rsidRDefault="00D80FAD" w:rsidP="00ED4F09">
            <w:pPr>
              <w:pStyle w:val="numbering2"/>
              <w:numPr>
                <w:ilvl w:val="2"/>
                <w:numId w:val="103"/>
              </w:numPr>
            </w:pPr>
            <w:r w:rsidRPr="00834834">
              <w:t>Comptes bancaires ;</w:t>
            </w:r>
          </w:p>
          <w:p w14:paraId="6EA54F8F" w14:textId="4FF34DD0" w:rsidR="00D80FAD" w:rsidRPr="00834834" w:rsidRDefault="00D80FAD" w:rsidP="00ED4F09">
            <w:pPr>
              <w:pStyle w:val="numbering2"/>
              <w:numPr>
                <w:ilvl w:val="2"/>
                <w:numId w:val="103"/>
              </w:numPr>
            </w:pPr>
            <w:r w:rsidRPr="00834834">
              <w:t>Régisseurs d</w:t>
            </w:r>
            <w:r w:rsidR="00D0034C" w:rsidRPr="00834834">
              <w:t>’</w:t>
            </w:r>
            <w:r w:rsidRPr="00834834">
              <w:t>avances.</w:t>
            </w:r>
          </w:p>
          <w:p w14:paraId="56EA1D67" w14:textId="7582AF0E" w:rsidR="00D80FAD" w:rsidRPr="00834834" w:rsidRDefault="00494C87" w:rsidP="00ED4F09">
            <w:pPr>
              <w:pStyle w:val="ListParagraph"/>
              <w:numPr>
                <w:ilvl w:val="0"/>
                <w:numId w:val="101"/>
              </w:numPr>
            </w:pPr>
            <w:r w:rsidRPr="00834834">
              <w:t>La classe 6 «</w:t>
            </w:r>
            <w:r w:rsidR="00D0034C" w:rsidRPr="00834834">
              <w:t> </w:t>
            </w:r>
            <w:r w:rsidRPr="00834834">
              <w:t>comptes de charges</w:t>
            </w:r>
            <w:r w:rsidR="00D0034C" w:rsidRPr="00834834">
              <w:t> </w:t>
            </w:r>
            <w:r w:rsidRPr="00834834">
              <w:t>» enregistre le montant brut des dépenses inscrites dans la comptabilité budgétaire.</w:t>
            </w:r>
          </w:p>
          <w:p w14:paraId="6E76ED61" w14:textId="77777777" w:rsidR="00D80FAD" w:rsidRPr="00834834" w:rsidRDefault="00D80FAD" w:rsidP="005E5D6B">
            <w:pPr>
              <w:pStyle w:val="ListParagraph"/>
              <w:ind w:left="1161"/>
            </w:pPr>
            <w:r w:rsidRPr="00834834">
              <w:t>Des comptes distincts sont ouverts pour les dépenses relatives :</w:t>
            </w:r>
          </w:p>
          <w:p w14:paraId="637D90D5" w14:textId="7F21D20B" w:rsidR="00D80FAD" w:rsidRPr="00834834" w:rsidRDefault="00D80FAD" w:rsidP="00ED4F09">
            <w:pPr>
              <w:pStyle w:val="numbering2"/>
              <w:numPr>
                <w:ilvl w:val="2"/>
                <w:numId w:val="104"/>
              </w:numPr>
            </w:pPr>
            <w:proofErr w:type="gramStart"/>
            <w:r w:rsidRPr="00834834">
              <w:t>aux</w:t>
            </w:r>
            <w:proofErr w:type="gramEnd"/>
            <w:r w:rsidRPr="00834834">
              <w:t xml:space="preserve"> crédits de l</w:t>
            </w:r>
            <w:r w:rsidR="00D0034C" w:rsidRPr="00834834">
              <w:t>’</w:t>
            </w:r>
            <w:r w:rsidRPr="00834834">
              <w:t>exercice courant ;</w:t>
            </w:r>
          </w:p>
          <w:p w14:paraId="632A191D" w14:textId="4F83DA2B" w:rsidR="00D80FAD" w:rsidRPr="00834834" w:rsidRDefault="00D80FAD" w:rsidP="00ED4F09">
            <w:pPr>
              <w:pStyle w:val="numbering2"/>
              <w:numPr>
                <w:ilvl w:val="2"/>
                <w:numId w:val="104"/>
              </w:numPr>
            </w:pPr>
            <w:proofErr w:type="gramStart"/>
            <w:r w:rsidRPr="00834834">
              <w:t>aux</w:t>
            </w:r>
            <w:proofErr w:type="gramEnd"/>
            <w:r w:rsidRPr="00834834">
              <w:t xml:space="preserve"> crédits reportés ;</w:t>
            </w:r>
          </w:p>
          <w:p w14:paraId="6112504A" w14:textId="10558C4D" w:rsidR="00D80FAD" w:rsidRPr="00834834" w:rsidRDefault="00D80FAD" w:rsidP="00ED4F09">
            <w:pPr>
              <w:pStyle w:val="numbering2"/>
              <w:numPr>
                <w:ilvl w:val="2"/>
                <w:numId w:val="104"/>
              </w:numPr>
            </w:pPr>
            <w:proofErr w:type="gramStart"/>
            <w:r w:rsidRPr="00834834">
              <w:t>aux</w:t>
            </w:r>
            <w:proofErr w:type="gramEnd"/>
            <w:r w:rsidRPr="00834834">
              <w:t xml:space="preserve"> crédits d</w:t>
            </w:r>
            <w:r w:rsidR="00D0034C" w:rsidRPr="00834834">
              <w:t>’</w:t>
            </w:r>
            <w:r w:rsidRPr="00834834">
              <w:t>engagements subsistants.</w:t>
            </w:r>
          </w:p>
          <w:p w14:paraId="169F1029" w14:textId="2FE83834" w:rsidR="00D80FAD" w:rsidRPr="00834834" w:rsidRDefault="00494C87" w:rsidP="00ED4F09">
            <w:pPr>
              <w:pStyle w:val="ListParagraph"/>
              <w:numPr>
                <w:ilvl w:val="0"/>
                <w:numId w:val="101"/>
              </w:numPr>
            </w:pPr>
            <w:r w:rsidRPr="00834834">
              <w:t>La classe 7 «</w:t>
            </w:r>
            <w:r w:rsidR="00D0034C" w:rsidRPr="00834834">
              <w:t> </w:t>
            </w:r>
            <w:r w:rsidRPr="00834834">
              <w:t>comptes de produits</w:t>
            </w:r>
            <w:r w:rsidR="00D0034C" w:rsidRPr="00834834">
              <w:t> </w:t>
            </w:r>
            <w:r w:rsidRPr="00834834">
              <w:t>» enregistre le montant des recouvrements inscrits dans la comptabilité budgétaire.</w:t>
            </w:r>
          </w:p>
          <w:p w14:paraId="6F3BB03C" w14:textId="77777777" w:rsidR="00D80FAD" w:rsidRPr="00834834" w:rsidRDefault="00D80FAD" w:rsidP="005E5D6B">
            <w:pPr>
              <w:ind w:left="1161"/>
              <w:rPr>
                <w:lang w:val="fr-BE"/>
              </w:rPr>
            </w:pPr>
            <w:r w:rsidRPr="00834834">
              <w:rPr>
                <w:lang w:val="fr-BE"/>
              </w:rPr>
              <w:t>Des comptes distincts sont ouverts pour les recouvrements :</w:t>
            </w:r>
          </w:p>
          <w:p w14:paraId="5FE4E89A" w14:textId="342BF737" w:rsidR="00D80FAD" w:rsidRPr="00834834" w:rsidRDefault="00D80FAD" w:rsidP="00ED4F09">
            <w:pPr>
              <w:pStyle w:val="numbering2"/>
              <w:numPr>
                <w:ilvl w:val="2"/>
                <w:numId w:val="105"/>
              </w:numPr>
            </w:pPr>
            <w:proofErr w:type="gramStart"/>
            <w:r w:rsidRPr="00834834">
              <w:t>des</w:t>
            </w:r>
            <w:proofErr w:type="gramEnd"/>
            <w:r w:rsidRPr="00834834">
              <w:t xml:space="preserve"> droits constatés de l</w:t>
            </w:r>
            <w:r w:rsidR="00D0034C" w:rsidRPr="00834834">
              <w:t>’</w:t>
            </w:r>
            <w:r w:rsidRPr="00834834">
              <w:t>exercice courant ;</w:t>
            </w:r>
          </w:p>
          <w:p w14:paraId="6BBC510E" w14:textId="15B7BFF1" w:rsidR="00D80FAD" w:rsidRPr="00834834" w:rsidRDefault="00D80FAD" w:rsidP="00ED4F09">
            <w:pPr>
              <w:pStyle w:val="numbering2"/>
              <w:numPr>
                <w:ilvl w:val="2"/>
                <w:numId w:val="105"/>
              </w:numPr>
            </w:pPr>
            <w:proofErr w:type="gramStart"/>
            <w:r w:rsidRPr="00834834">
              <w:t>restant</w:t>
            </w:r>
            <w:proofErr w:type="gramEnd"/>
            <w:r w:rsidRPr="00834834">
              <w:t xml:space="preserve"> à recouvrer des exercices précédents.</w:t>
            </w:r>
          </w:p>
          <w:p w14:paraId="327E829E" w14:textId="0065234C" w:rsidR="00D80FAD" w:rsidRPr="00834834" w:rsidRDefault="00494C87" w:rsidP="00ED4F09">
            <w:pPr>
              <w:pStyle w:val="ListParagraph"/>
              <w:numPr>
                <w:ilvl w:val="0"/>
                <w:numId w:val="101"/>
              </w:numPr>
            </w:pPr>
            <w:r w:rsidRPr="00834834">
              <w:t>La classe 8 «</w:t>
            </w:r>
            <w:r w:rsidR="00D0034C" w:rsidRPr="00834834">
              <w:t> </w:t>
            </w:r>
            <w:r w:rsidRPr="00834834">
              <w:t>comptes de résultats</w:t>
            </w:r>
            <w:r w:rsidR="00D0034C" w:rsidRPr="00834834">
              <w:t> </w:t>
            </w:r>
            <w:r w:rsidRPr="00834834">
              <w:t>» fait apparaître les résultats de l</w:t>
            </w:r>
            <w:r w:rsidR="00D0034C" w:rsidRPr="00834834">
              <w:t>’</w:t>
            </w:r>
            <w:r w:rsidRPr="00834834">
              <w:t>exercice.</w:t>
            </w:r>
          </w:p>
          <w:p w14:paraId="3A65BD0B" w14:textId="4307B8CE" w:rsidR="00D80FAD" w:rsidRPr="00834834" w:rsidRDefault="00D80FAD" w:rsidP="00ED4F09">
            <w:pPr>
              <w:pStyle w:val="ListParagraph"/>
              <w:numPr>
                <w:ilvl w:val="0"/>
                <w:numId w:val="101"/>
              </w:numPr>
            </w:pPr>
            <w:r w:rsidRPr="00834834">
              <w:t>Dans le cadre des règles comptables, des procédures et des plans comptables harmonisés fixés par le comptable comme prévu à l</w:t>
            </w:r>
            <w:r w:rsidR="00D0034C" w:rsidRPr="00834834">
              <w:t>’</w:t>
            </w:r>
            <w:r w:rsidRPr="00834834">
              <w:t>article 35, chaque École dispose d</w:t>
            </w:r>
            <w:r w:rsidR="00D0034C" w:rsidRPr="00834834">
              <w:t>’</w:t>
            </w:r>
            <w:r w:rsidRPr="00834834">
              <w:t>un plan comptable uniforme établi en fonction du cadre comptable défini aux paragraphes 6 à 12 du présent article, avec groupes, sous-groupes et comptes selon les besoins particuliers de leur gestion. À l</w:t>
            </w:r>
            <w:r w:rsidR="00D0034C" w:rsidRPr="00834834">
              <w:t>’</w:t>
            </w:r>
            <w:r w:rsidRPr="00834834">
              <w:t>intérieur de ce même cadre, le Bureau du Secrétaire général peut ouvrir des groupes, sous-groupes et comptes qui lui sont propres.</w:t>
            </w:r>
          </w:p>
          <w:p w14:paraId="6C121A12" w14:textId="0B7353E6" w:rsidR="00D80FAD" w:rsidRPr="00834834" w:rsidRDefault="00302FA1" w:rsidP="007673A5">
            <w:pPr>
              <w:pStyle w:val="Subtitle"/>
              <w:rPr>
                <w:lang w:val="fr-BE"/>
              </w:rPr>
            </w:pPr>
            <w:r w:rsidRPr="00834834">
              <w:rPr>
                <w:lang w:val="fr-BE"/>
              </w:rPr>
              <w:t>Article</w:t>
            </w:r>
            <w:r w:rsidR="00D0034C" w:rsidRPr="00834834">
              <w:rPr>
                <w:lang w:val="fr-BE"/>
              </w:rPr>
              <w:t> </w:t>
            </w:r>
            <w:r w:rsidRPr="00834834">
              <w:rPr>
                <w:lang w:val="fr-BE"/>
              </w:rPr>
              <w:t>77</w:t>
            </w:r>
          </w:p>
          <w:p w14:paraId="0D7F24E5" w14:textId="77777777" w:rsidR="00D80FAD" w:rsidRPr="00834834" w:rsidRDefault="00302FA1" w:rsidP="007673A5">
            <w:pPr>
              <w:pStyle w:val="Subtitle"/>
              <w:rPr>
                <w:lang w:val="fr-BE"/>
              </w:rPr>
            </w:pPr>
            <w:r w:rsidRPr="00834834">
              <w:rPr>
                <w:lang w:val="fr-BE"/>
              </w:rPr>
              <w:t>Fonctionnement du plan comptable de la comptabilité générale</w:t>
            </w:r>
          </w:p>
          <w:p w14:paraId="61B71E83" w14:textId="67AC0BE1" w:rsidR="00D80FAD" w:rsidRPr="005E5D6B" w:rsidRDefault="00D80FAD" w:rsidP="00ED4F09">
            <w:pPr>
              <w:pStyle w:val="ListParagraph"/>
              <w:numPr>
                <w:ilvl w:val="0"/>
                <w:numId w:val="106"/>
              </w:numPr>
            </w:pPr>
            <w:r w:rsidRPr="005E5D6B">
              <w:t>La comptabilité permet l</w:t>
            </w:r>
            <w:r w:rsidR="00D0034C" w:rsidRPr="005E5D6B">
              <w:t>’</w:t>
            </w:r>
            <w:r w:rsidRPr="005E5D6B">
              <w:t>établissement d</w:t>
            </w:r>
            <w:r w:rsidR="00D0034C" w:rsidRPr="005E5D6B">
              <w:t>’</w:t>
            </w:r>
            <w:r w:rsidRPr="005E5D6B">
              <w:t>une balance générale des comptes, c</w:t>
            </w:r>
            <w:r w:rsidR="00D0034C" w:rsidRPr="005E5D6B">
              <w:t>’</w:t>
            </w:r>
            <w:r w:rsidRPr="005E5D6B">
              <w:t>est-à-dire le relevé de tous les comptes d</w:t>
            </w:r>
            <w:r w:rsidR="00D0034C" w:rsidRPr="005E5D6B">
              <w:t>’</w:t>
            </w:r>
            <w:r w:rsidRPr="005E5D6B">
              <w:t>actif et de passif, y compris les comptes soldés avec, pour chacun d</w:t>
            </w:r>
            <w:r w:rsidR="00D0034C" w:rsidRPr="005E5D6B">
              <w:t>’</w:t>
            </w:r>
            <w:r w:rsidRPr="005E5D6B">
              <w:t>eux :</w:t>
            </w:r>
          </w:p>
          <w:p w14:paraId="491A5FB5" w14:textId="7792F5A3" w:rsidR="00D80FAD" w:rsidRPr="00834834" w:rsidRDefault="00D80FAD" w:rsidP="00ED4F09">
            <w:pPr>
              <w:pStyle w:val="numbering2"/>
              <w:numPr>
                <w:ilvl w:val="2"/>
                <w:numId w:val="107"/>
              </w:numPr>
            </w:pPr>
            <w:proofErr w:type="gramStart"/>
            <w:r w:rsidRPr="00834834">
              <w:t>le</w:t>
            </w:r>
            <w:proofErr w:type="gramEnd"/>
            <w:r w:rsidRPr="00834834">
              <w:t xml:space="preserve"> numéro du compte ;</w:t>
            </w:r>
          </w:p>
          <w:p w14:paraId="46C22DBA" w14:textId="5BE65F5B" w:rsidR="00BD7514" w:rsidRPr="00834834" w:rsidRDefault="00D80FAD" w:rsidP="00ED4F09">
            <w:pPr>
              <w:pStyle w:val="numbering2"/>
              <w:numPr>
                <w:ilvl w:val="2"/>
                <w:numId w:val="107"/>
              </w:numPr>
            </w:pPr>
            <w:proofErr w:type="gramStart"/>
            <w:r w:rsidRPr="00834834">
              <w:t>le</w:t>
            </w:r>
            <w:proofErr w:type="gramEnd"/>
            <w:r w:rsidRPr="00834834">
              <w:t xml:space="preserve"> libellé ;</w:t>
            </w:r>
            <w:r w:rsidRPr="00834834">
              <w:rPr>
                <w:bCs/>
              </w:rPr>
              <w:t xml:space="preserve"> </w:t>
            </w:r>
          </w:p>
          <w:p w14:paraId="2437BEC2" w14:textId="2FE50AB0" w:rsidR="00D80FAD" w:rsidRPr="00834834" w:rsidRDefault="00D80FAD" w:rsidP="00ED4F09">
            <w:pPr>
              <w:pStyle w:val="numbering2"/>
              <w:numPr>
                <w:ilvl w:val="2"/>
                <w:numId w:val="107"/>
              </w:numPr>
            </w:pPr>
            <w:proofErr w:type="gramStart"/>
            <w:r w:rsidRPr="00834834">
              <w:t>le</w:t>
            </w:r>
            <w:proofErr w:type="gramEnd"/>
            <w:r w:rsidRPr="00834834">
              <w:t xml:space="preserve"> total des débits ;</w:t>
            </w:r>
          </w:p>
          <w:p w14:paraId="099DDE17" w14:textId="00D7D99C" w:rsidR="00D80FAD" w:rsidRPr="00834834" w:rsidRDefault="00D80FAD" w:rsidP="00ED4F09">
            <w:pPr>
              <w:pStyle w:val="numbering2"/>
              <w:numPr>
                <w:ilvl w:val="2"/>
                <w:numId w:val="107"/>
              </w:numPr>
            </w:pPr>
            <w:proofErr w:type="gramStart"/>
            <w:r w:rsidRPr="00834834">
              <w:t>le</w:t>
            </w:r>
            <w:proofErr w:type="gramEnd"/>
            <w:r w:rsidRPr="00834834">
              <w:t xml:space="preserve"> total des crédits ;</w:t>
            </w:r>
          </w:p>
          <w:p w14:paraId="085DC205" w14:textId="73C3D6B6" w:rsidR="00302FA1" w:rsidRPr="00834834" w:rsidRDefault="00D80FAD" w:rsidP="00ED4F09">
            <w:pPr>
              <w:pStyle w:val="numbering2"/>
              <w:numPr>
                <w:ilvl w:val="2"/>
                <w:numId w:val="107"/>
              </w:numPr>
            </w:pPr>
            <w:proofErr w:type="gramStart"/>
            <w:r w:rsidRPr="00834834">
              <w:t>le</w:t>
            </w:r>
            <w:proofErr w:type="gramEnd"/>
            <w:r w:rsidRPr="00834834">
              <w:t xml:space="preserve"> solde.</w:t>
            </w:r>
          </w:p>
          <w:p w14:paraId="0FE8ECFF" w14:textId="3F9BEE0A" w:rsidR="00302FA1" w:rsidRPr="00834834" w:rsidRDefault="00302FA1" w:rsidP="00ED4F09">
            <w:pPr>
              <w:pStyle w:val="ListParagraph"/>
              <w:numPr>
                <w:ilvl w:val="0"/>
                <w:numId w:val="106"/>
              </w:numPr>
            </w:pPr>
            <w:r w:rsidRPr="00834834">
              <w:t>Les soldes ainsi que les différents mouvements sur les comptes généraux sont inscrits dans les livres comptables.</w:t>
            </w:r>
          </w:p>
          <w:p w14:paraId="75D8A86F" w14:textId="5C07BE9D" w:rsidR="00302FA1" w:rsidRPr="00834834" w:rsidRDefault="00302FA1" w:rsidP="00ED4F09">
            <w:pPr>
              <w:pStyle w:val="ListParagraph"/>
              <w:numPr>
                <w:ilvl w:val="0"/>
                <w:numId w:val="106"/>
              </w:numPr>
            </w:pPr>
            <w:r w:rsidRPr="00834834">
              <w:t>Toutes les écritures comptables, y compris les ajustements comptables, se fondent sur des pièces justificatives, auxquelles les entrées se réfèrent.</w:t>
            </w:r>
          </w:p>
          <w:p w14:paraId="13C29433" w14:textId="302863BA" w:rsidR="00D80FAD" w:rsidRPr="00834834" w:rsidRDefault="00302FA1" w:rsidP="00ED4F09">
            <w:pPr>
              <w:pStyle w:val="ListParagraph"/>
              <w:numPr>
                <w:ilvl w:val="0"/>
                <w:numId w:val="106"/>
              </w:numPr>
            </w:pPr>
            <w:r w:rsidRPr="00834834">
              <w:t>Le système comptable permet de retracer clairement toutes les écritures comptables.</w:t>
            </w:r>
          </w:p>
          <w:p w14:paraId="2ABC3555" w14:textId="1886B67B" w:rsidR="00D80FAD" w:rsidRPr="00834834" w:rsidRDefault="00302FA1" w:rsidP="00ED4F09">
            <w:pPr>
              <w:pStyle w:val="ListParagraph"/>
              <w:numPr>
                <w:ilvl w:val="0"/>
                <w:numId w:val="106"/>
              </w:numPr>
            </w:pPr>
            <w:r w:rsidRPr="00834834">
              <w:t>La comptabilité permet l</w:t>
            </w:r>
            <w:r w:rsidR="00D0034C" w:rsidRPr="00834834">
              <w:t>’</w:t>
            </w:r>
            <w:r w:rsidRPr="00834834">
              <w:t>analyse détaillée des soldes des comptes de tiers.</w:t>
            </w:r>
          </w:p>
          <w:p w14:paraId="00C252D3" w14:textId="03135358" w:rsidR="00F3312E" w:rsidRPr="00834834" w:rsidRDefault="00302FA1" w:rsidP="00ED4F09">
            <w:pPr>
              <w:pStyle w:val="ListParagraph"/>
              <w:numPr>
                <w:ilvl w:val="0"/>
                <w:numId w:val="106"/>
              </w:numPr>
            </w:pPr>
            <w:r w:rsidRPr="00834834">
              <w:lastRenderedPageBreak/>
              <w:t>Les comptes d</w:t>
            </w:r>
            <w:r w:rsidR="00D0034C" w:rsidRPr="00834834">
              <w:t>’</w:t>
            </w:r>
            <w:r w:rsidRPr="00834834">
              <w:t>attente font l</w:t>
            </w:r>
            <w:r w:rsidR="00D0034C" w:rsidRPr="00834834">
              <w:t>’</w:t>
            </w:r>
            <w:r w:rsidRPr="00834834">
              <w:t>objet d</w:t>
            </w:r>
            <w:r w:rsidR="00D0034C" w:rsidRPr="00834834">
              <w:t>’</w:t>
            </w:r>
            <w:r w:rsidRPr="00834834">
              <w:t>un examen permanent et sont apurés dans les délais les plus brefs et, au plus tard, dans les délais prévus à l</w:t>
            </w:r>
            <w:r w:rsidR="00D0034C" w:rsidRPr="00834834">
              <w:t>’</w:t>
            </w:r>
            <w:r w:rsidRPr="00834834">
              <w:t>article 60.</w:t>
            </w:r>
          </w:p>
          <w:p w14:paraId="4CB262E9" w14:textId="17711576" w:rsidR="00F3312E" w:rsidRPr="00834834" w:rsidRDefault="00D80FAD" w:rsidP="00ED4F09">
            <w:pPr>
              <w:pStyle w:val="ListParagraph"/>
              <w:numPr>
                <w:ilvl w:val="0"/>
                <w:numId w:val="106"/>
              </w:numPr>
            </w:pPr>
            <w:r w:rsidRPr="00834834">
              <w:t>Les comptes d</w:t>
            </w:r>
            <w:r w:rsidR="00D0034C" w:rsidRPr="00834834">
              <w:t>’</w:t>
            </w:r>
            <w:r w:rsidRPr="00834834">
              <w:t>ordre pour réemploi permettent de suivre les opérations de réemploi des recettes prévues à l</w:t>
            </w:r>
            <w:r w:rsidR="00D0034C" w:rsidRPr="00834834">
              <w:t>’</w:t>
            </w:r>
            <w:r w:rsidRPr="00834834">
              <w:t>article</w:t>
            </w:r>
            <w:r w:rsidR="00D0034C" w:rsidRPr="00834834">
              <w:t> </w:t>
            </w:r>
            <w:r w:rsidRPr="00834834">
              <w:t>6 et d</w:t>
            </w:r>
            <w:r w:rsidR="00D0034C" w:rsidRPr="00834834">
              <w:t>’</w:t>
            </w:r>
            <w:r w:rsidRPr="00834834">
              <w:t>établir l</w:t>
            </w:r>
            <w:r w:rsidR="00D0034C" w:rsidRPr="00834834">
              <w:t>’</w:t>
            </w:r>
            <w:r w:rsidRPr="00834834">
              <w:t>état prévu au deuxième alinéa de l</w:t>
            </w:r>
            <w:r w:rsidR="00D0034C" w:rsidRPr="00834834">
              <w:t>’</w:t>
            </w:r>
            <w:r w:rsidRPr="00834834">
              <w:t>article 70, paragraphes 1 et 2.</w:t>
            </w:r>
          </w:p>
          <w:p w14:paraId="1D4F7428" w14:textId="68511613" w:rsidR="00D80FAD" w:rsidRPr="00834834" w:rsidRDefault="00302FA1" w:rsidP="00ED4F09">
            <w:pPr>
              <w:pStyle w:val="ListParagraph"/>
              <w:numPr>
                <w:ilvl w:val="0"/>
                <w:numId w:val="106"/>
              </w:numPr>
            </w:pPr>
            <w:r w:rsidRPr="00834834">
              <w:t>Les comptes financiers (bancaires) sont tenus en devises et euros. La conversion en euros des montants exprimés en monnaies nationales est effectuée sur la base des taux établis conformément à l</w:t>
            </w:r>
            <w:r w:rsidR="00D0034C" w:rsidRPr="00834834">
              <w:t>’</w:t>
            </w:r>
            <w:r w:rsidRPr="00834834">
              <w:t>article 18.</w:t>
            </w:r>
          </w:p>
          <w:p w14:paraId="0C27ED3D" w14:textId="04DADDC7" w:rsidR="008C38A2"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 xml:space="preserve">78 </w:t>
            </w:r>
          </w:p>
          <w:p w14:paraId="72C4F44E" w14:textId="77777777" w:rsidR="004A2404" w:rsidRPr="00834834" w:rsidRDefault="004A2404" w:rsidP="007673A5">
            <w:pPr>
              <w:pStyle w:val="Subtitle"/>
              <w:rPr>
                <w:lang w:val="fr-BE"/>
              </w:rPr>
            </w:pPr>
            <w:r w:rsidRPr="00834834">
              <w:rPr>
                <w:lang w:val="fr-BE"/>
              </w:rPr>
              <w:t>Ajustements comptables</w:t>
            </w:r>
          </w:p>
          <w:p w14:paraId="08DD488E" w14:textId="3C35869C" w:rsidR="004A2404" w:rsidRPr="00834834" w:rsidRDefault="004A2404" w:rsidP="005E5D6B">
            <w:pPr>
              <w:rPr>
                <w:lang w:val="fr-BE"/>
              </w:rPr>
            </w:pPr>
            <w:r w:rsidRPr="00834834">
              <w:rPr>
                <w:lang w:val="fr-BE"/>
              </w:rPr>
              <w:t>Après la clôture de l</w:t>
            </w:r>
            <w:r w:rsidR="00D0034C" w:rsidRPr="00834834">
              <w:rPr>
                <w:lang w:val="fr-BE"/>
              </w:rPr>
              <w:t>’</w:t>
            </w:r>
            <w:r w:rsidRPr="00834834">
              <w:rPr>
                <w:lang w:val="fr-BE"/>
              </w:rPr>
              <w:t>exercice et jusqu</w:t>
            </w:r>
            <w:r w:rsidR="00D0034C" w:rsidRPr="00834834">
              <w:rPr>
                <w:lang w:val="fr-BE"/>
              </w:rPr>
              <w:t>’</w:t>
            </w:r>
            <w:r w:rsidRPr="00834834">
              <w:rPr>
                <w:lang w:val="fr-BE"/>
              </w:rPr>
              <w:t>à la date de présentation des comptes généraux, le comptable procède aux ajustements qui, sans entraîner un décaissement ou un encaissement à la charge de cet exercice, sont nécessaires à une présentation fidèle de ces comptes. Ces ajustements doivent se conformer aux règles comptables visées à l</w:t>
            </w:r>
            <w:r w:rsidR="00D0034C" w:rsidRPr="00834834">
              <w:rPr>
                <w:lang w:val="fr-BE"/>
              </w:rPr>
              <w:t>’</w:t>
            </w:r>
            <w:r w:rsidRPr="00834834">
              <w:rPr>
                <w:lang w:val="fr-BE"/>
              </w:rPr>
              <w:t>article 68.</w:t>
            </w:r>
          </w:p>
          <w:p w14:paraId="2C351893" w14:textId="62665912" w:rsidR="008C38A2" w:rsidRPr="00834834" w:rsidRDefault="004A2404" w:rsidP="007673A5">
            <w:pPr>
              <w:pStyle w:val="Subtitle"/>
              <w:rPr>
                <w:strike/>
                <w:lang w:val="fr-BE"/>
              </w:rPr>
            </w:pPr>
            <w:r w:rsidRPr="00834834">
              <w:rPr>
                <w:lang w:val="fr-BE"/>
              </w:rPr>
              <w:t>Article</w:t>
            </w:r>
            <w:r w:rsidR="00D0034C" w:rsidRPr="00834834">
              <w:rPr>
                <w:lang w:val="fr-BE"/>
              </w:rPr>
              <w:t> </w:t>
            </w:r>
            <w:r w:rsidRPr="00834834">
              <w:rPr>
                <w:lang w:val="fr-BE"/>
              </w:rPr>
              <w:t>79</w:t>
            </w:r>
          </w:p>
          <w:p w14:paraId="0BFC8098" w14:textId="77777777" w:rsidR="004A2404" w:rsidRPr="00834834" w:rsidRDefault="00B32B5E" w:rsidP="007673A5">
            <w:pPr>
              <w:pStyle w:val="Subtitle"/>
              <w:rPr>
                <w:lang w:val="fr-BE"/>
              </w:rPr>
            </w:pPr>
            <w:r w:rsidRPr="00834834">
              <w:rPr>
                <w:lang w:val="fr-BE"/>
              </w:rPr>
              <w:t>Comptabilité budgétaire et extrabudgétaire</w:t>
            </w:r>
          </w:p>
          <w:p w14:paraId="70DDFBBE" w14:textId="259753A2" w:rsidR="004A2404" w:rsidRPr="005E5D6B" w:rsidRDefault="00B32B5E" w:rsidP="00ED4F09">
            <w:pPr>
              <w:pStyle w:val="ListParagraph"/>
              <w:numPr>
                <w:ilvl w:val="0"/>
                <w:numId w:val="108"/>
              </w:numPr>
            </w:pPr>
            <w:r w:rsidRPr="005E5D6B">
              <w:t>Les comptes budgétaires permettent de suivre de manière détaillée l</w:t>
            </w:r>
            <w:r w:rsidR="00D0034C" w:rsidRPr="005E5D6B">
              <w:t>’</w:t>
            </w:r>
            <w:r w:rsidRPr="005E5D6B">
              <w:t>exécution du budget des Écoles européennes.</w:t>
            </w:r>
          </w:p>
          <w:p w14:paraId="0F0F8E87" w14:textId="2B6715DA" w:rsidR="004A2404" w:rsidRPr="005E5D6B" w:rsidRDefault="004A2404" w:rsidP="00ED4F09">
            <w:pPr>
              <w:pStyle w:val="ListParagraph"/>
              <w:numPr>
                <w:ilvl w:val="0"/>
                <w:numId w:val="108"/>
              </w:numPr>
            </w:pPr>
            <w:r w:rsidRPr="005E5D6B">
              <w:t>Ces comptes établissent une balance des comptes annuelle et une situation trimestrielle par chapitre, article et poste des recettes et des dépenses budgétaires. Ces situations sont transmises aux ordonnateurs responsables.</w:t>
            </w:r>
          </w:p>
          <w:p w14:paraId="62DB9719" w14:textId="1B60377B" w:rsidR="00B32B5E" w:rsidRPr="00834834" w:rsidRDefault="003D5D4F" w:rsidP="00AA2867">
            <w:pPr>
              <w:pStyle w:val="ListParagraph"/>
              <w:numPr>
                <w:ilvl w:val="0"/>
                <w:numId w:val="108"/>
              </w:numPr>
            </w:pPr>
            <w:r w:rsidRPr="00834834">
              <w:t>La comptabilité budgétaire enregistre pour chaque subdivision du budget :</w:t>
            </w:r>
          </w:p>
          <w:p w14:paraId="1D4093EB" w14:textId="113440B6" w:rsidR="00B32B5E" w:rsidRPr="00834834" w:rsidRDefault="00B32B5E" w:rsidP="00ED4F09">
            <w:pPr>
              <w:pStyle w:val="numbering2"/>
              <w:numPr>
                <w:ilvl w:val="2"/>
                <w:numId w:val="109"/>
              </w:numPr>
            </w:pPr>
            <w:proofErr w:type="gramStart"/>
            <w:r w:rsidRPr="00834834">
              <w:t>les</w:t>
            </w:r>
            <w:proofErr w:type="gramEnd"/>
            <w:r w:rsidRPr="00834834">
              <w:t xml:space="preserve"> crédits initiaux, les crédits inscrits dans des budgets supplémentaires ou rectificatifs, les virements de crédits et le total des crédits ainsi disponibles ;</w:t>
            </w:r>
          </w:p>
          <w:p w14:paraId="51775F2F" w14:textId="1CA34296" w:rsidR="00B32B5E" w:rsidRPr="00834834" w:rsidRDefault="00B32B5E" w:rsidP="00ED4F09">
            <w:pPr>
              <w:pStyle w:val="numbering2"/>
              <w:numPr>
                <w:ilvl w:val="2"/>
                <w:numId w:val="109"/>
              </w:numPr>
            </w:pPr>
            <w:proofErr w:type="gramStart"/>
            <w:r w:rsidRPr="00834834">
              <w:t>les</w:t>
            </w:r>
            <w:proofErr w:type="gramEnd"/>
            <w:r w:rsidRPr="00834834">
              <w:t xml:space="preserve"> droits constatés et les recouvrements de l</w:t>
            </w:r>
            <w:r w:rsidR="00D0034C" w:rsidRPr="00834834">
              <w:t>’</w:t>
            </w:r>
            <w:r w:rsidRPr="00834834">
              <w:t>exercice ;</w:t>
            </w:r>
          </w:p>
          <w:p w14:paraId="6B8B6C7B" w14:textId="3E3E3E5F" w:rsidR="00B32B5E" w:rsidRPr="00834834" w:rsidRDefault="00B32B5E" w:rsidP="00ED4F09">
            <w:pPr>
              <w:pStyle w:val="numbering2"/>
              <w:numPr>
                <w:ilvl w:val="2"/>
                <w:numId w:val="109"/>
              </w:numPr>
            </w:pPr>
            <w:proofErr w:type="gramStart"/>
            <w:r w:rsidRPr="00834834">
              <w:t>les</w:t>
            </w:r>
            <w:proofErr w:type="gramEnd"/>
            <w:r w:rsidRPr="00834834">
              <w:t xml:space="preserve"> engagements et les paiements de l</w:t>
            </w:r>
            <w:r w:rsidR="00D0034C" w:rsidRPr="00834834">
              <w:t>’</w:t>
            </w:r>
            <w:r w:rsidRPr="00834834">
              <w:t>exercice.</w:t>
            </w:r>
          </w:p>
          <w:p w14:paraId="5ECDA5CA" w14:textId="0965ABE5" w:rsidR="00B32B5E" w:rsidRPr="00834834" w:rsidRDefault="00B32B5E" w:rsidP="00ED4F09">
            <w:pPr>
              <w:pStyle w:val="ListParagraph"/>
              <w:numPr>
                <w:ilvl w:val="0"/>
                <w:numId w:val="108"/>
              </w:numPr>
            </w:pPr>
            <w:r w:rsidRPr="00834834">
              <w:t>Des comptes distincts sont ouverts pour suivre séparément l</w:t>
            </w:r>
            <w:r w:rsidR="00D0034C" w:rsidRPr="00834834">
              <w:t>’</w:t>
            </w:r>
            <w:r w:rsidRPr="00834834">
              <w:t>utilisation des crédits reportés et les montants restants à recouvrer.</w:t>
            </w:r>
          </w:p>
          <w:p w14:paraId="125E2102" w14:textId="3768E822" w:rsidR="00B32B5E" w:rsidRPr="00834834" w:rsidRDefault="00B32B5E" w:rsidP="00ED4F09">
            <w:pPr>
              <w:pStyle w:val="ListParagraph"/>
              <w:numPr>
                <w:ilvl w:val="0"/>
                <w:numId w:val="108"/>
              </w:numPr>
            </w:pPr>
            <w:r w:rsidRPr="00834834">
              <w:t>Les comptes peuvent être détaillés dans le but de déterminer des résultats analytiques.</w:t>
            </w:r>
          </w:p>
          <w:p w14:paraId="40250F69" w14:textId="4E9E2D27" w:rsidR="00B32B5E" w:rsidRPr="00834834" w:rsidRDefault="00B32B5E" w:rsidP="00ED4F09">
            <w:pPr>
              <w:pStyle w:val="ListParagraph"/>
              <w:numPr>
                <w:ilvl w:val="0"/>
                <w:numId w:val="108"/>
              </w:numPr>
            </w:pPr>
            <w:r w:rsidRPr="00834834">
              <w:t>Les comptes sont tenus dans des livres, ou sur fiches, ou à l</w:t>
            </w:r>
            <w:r w:rsidR="00D0034C" w:rsidRPr="00834834">
              <w:t>’</w:t>
            </w:r>
            <w:r w:rsidRPr="00834834">
              <w:t>aide de tout moyen informatique.</w:t>
            </w:r>
            <w:bookmarkStart w:id="0" w:name="_GoBack"/>
            <w:bookmarkEnd w:id="0"/>
          </w:p>
          <w:p w14:paraId="29CF881A" w14:textId="253711FA" w:rsidR="00922053" w:rsidRPr="00834834" w:rsidRDefault="00B32B5E" w:rsidP="00ED4F09">
            <w:pPr>
              <w:pStyle w:val="ListParagraph"/>
              <w:numPr>
                <w:ilvl w:val="0"/>
                <w:numId w:val="108"/>
              </w:numPr>
            </w:pPr>
            <w:r w:rsidRPr="00834834">
              <w:t>La comptabilité extrabudgétaire enregistre les recettes et les dépenses sur les comptes extrabudgétaires, conformément à l’article 19.</w:t>
            </w:r>
          </w:p>
          <w:p w14:paraId="1C714223" w14:textId="77777777" w:rsidR="004A2404" w:rsidRPr="00834834" w:rsidRDefault="004A2404" w:rsidP="007673A5">
            <w:pPr>
              <w:pStyle w:val="Subtitle"/>
              <w:rPr>
                <w:strike/>
                <w:lang w:val="fr-BE"/>
              </w:rPr>
            </w:pPr>
            <w:r w:rsidRPr="00834834">
              <w:rPr>
                <w:lang w:val="fr-BE"/>
              </w:rPr>
              <w:t>Article 80</w:t>
            </w:r>
          </w:p>
          <w:p w14:paraId="4002EEE3" w14:textId="77777777" w:rsidR="004A2404" w:rsidRPr="00834834" w:rsidRDefault="004A2404" w:rsidP="007673A5">
            <w:pPr>
              <w:pStyle w:val="Subtitle"/>
              <w:rPr>
                <w:lang w:val="fr-BE"/>
              </w:rPr>
            </w:pPr>
            <w:r w:rsidRPr="00834834">
              <w:rPr>
                <w:lang w:val="fr-BE"/>
              </w:rPr>
              <w:t>Avances</w:t>
            </w:r>
          </w:p>
          <w:p w14:paraId="4B9360D1" w14:textId="456928EE" w:rsidR="004A2404" w:rsidRPr="00834834" w:rsidRDefault="004A2404" w:rsidP="009B042C">
            <w:pPr>
              <w:rPr>
                <w:lang w:val="fr-BE"/>
              </w:rPr>
            </w:pPr>
            <w:r w:rsidRPr="00834834">
              <w:rPr>
                <w:lang w:val="fr-BE"/>
              </w:rPr>
              <w:t>Toute avance est comptabilisée sur un compte d</w:t>
            </w:r>
            <w:r w:rsidR="00D0034C" w:rsidRPr="00834834">
              <w:rPr>
                <w:lang w:val="fr-BE"/>
              </w:rPr>
              <w:t>’</w:t>
            </w:r>
            <w:r w:rsidRPr="00834834">
              <w:rPr>
                <w:lang w:val="fr-BE"/>
              </w:rPr>
              <w:t>attente et régularisée au plus tard pendant l</w:t>
            </w:r>
            <w:r w:rsidR="00D0034C" w:rsidRPr="00834834">
              <w:rPr>
                <w:lang w:val="fr-BE"/>
              </w:rPr>
              <w:t>’</w:t>
            </w:r>
            <w:r w:rsidRPr="00834834">
              <w:rPr>
                <w:lang w:val="fr-BE"/>
              </w:rPr>
              <w:t>exercice qui suit le paiement de cette avance, sauf les avances à caractère permanent qui sont réexaminées périodiquement.</w:t>
            </w:r>
          </w:p>
          <w:p w14:paraId="6FF61068" w14:textId="3A59E862" w:rsidR="004A2404" w:rsidRPr="00834834" w:rsidRDefault="004A2404" w:rsidP="009B042C">
            <w:pPr>
              <w:rPr>
                <w:lang w:val="fr-BE"/>
              </w:rPr>
            </w:pPr>
            <w:r w:rsidRPr="00834834">
              <w:rPr>
                <w:lang w:val="fr-BE"/>
              </w:rPr>
              <w:t>Toutefois, les avances visées au paragraphe 2 de l</w:t>
            </w:r>
            <w:r w:rsidR="00D0034C" w:rsidRPr="00834834">
              <w:rPr>
                <w:lang w:val="fr-BE"/>
              </w:rPr>
              <w:t>’</w:t>
            </w:r>
            <w:r w:rsidRPr="00834834">
              <w:rPr>
                <w:lang w:val="fr-BE"/>
              </w:rPr>
              <w:t>article 60 sont liquidées dans les six semaines suivant la réalisation de l</w:t>
            </w:r>
            <w:r w:rsidR="00D0034C" w:rsidRPr="00834834">
              <w:rPr>
                <w:lang w:val="fr-BE"/>
              </w:rPr>
              <w:t>’</w:t>
            </w:r>
            <w:r w:rsidRPr="00834834">
              <w:rPr>
                <w:lang w:val="fr-BE"/>
              </w:rPr>
              <w:t>objet pour lequel elles ont été consenties, sauf exception dûment justifiée.</w:t>
            </w:r>
          </w:p>
          <w:p w14:paraId="1B0D23BA" w14:textId="77777777" w:rsidR="0039221D" w:rsidRDefault="0039221D" w:rsidP="007673A5">
            <w:pPr>
              <w:pStyle w:val="Subtitle"/>
              <w:rPr>
                <w:lang w:val="fr-BE"/>
              </w:rPr>
            </w:pPr>
          </w:p>
          <w:p w14:paraId="4DE067DB" w14:textId="336DEC40" w:rsidR="004A2404" w:rsidRPr="00834834" w:rsidRDefault="004A2404" w:rsidP="007673A5">
            <w:pPr>
              <w:pStyle w:val="Subtitle"/>
              <w:rPr>
                <w:lang w:val="fr-BE"/>
              </w:rPr>
            </w:pPr>
            <w:r w:rsidRPr="00834834">
              <w:rPr>
                <w:lang w:val="fr-BE"/>
              </w:rPr>
              <w:lastRenderedPageBreak/>
              <w:t>Article</w:t>
            </w:r>
            <w:r w:rsidR="00D0034C" w:rsidRPr="00834834">
              <w:rPr>
                <w:lang w:val="fr-BE"/>
              </w:rPr>
              <w:t> </w:t>
            </w:r>
            <w:r w:rsidRPr="00834834">
              <w:rPr>
                <w:lang w:val="fr-BE"/>
              </w:rPr>
              <w:t>81</w:t>
            </w:r>
          </w:p>
          <w:p w14:paraId="34FD22FD" w14:textId="77777777" w:rsidR="004A2404" w:rsidRPr="00834834" w:rsidRDefault="004A2404" w:rsidP="007673A5">
            <w:pPr>
              <w:pStyle w:val="Subtitle"/>
              <w:rPr>
                <w:lang w:val="fr-BE"/>
              </w:rPr>
            </w:pPr>
            <w:r w:rsidRPr="00834834">
              <w:rPr>
                <w:lang w:val="fr-BE"/>
              </w:rPr>
              <w:t>Clôture des comptes</w:t>
            </w:r>
          </w:p>
          <w:p w14:paraId="6E3402FF" w14:textId="7686229B" w:rsidR="004A2404" w:rsidRPr="00834834" w:rsidRDefault="004A2404" w:rsidP="009B042C">
            <w:pPr>
              <w:rPr>
                <w:lang w:val="fr-BE"/>
              </w:rPr>
            </w:pPr>
            <w:r w:rsidRPr="00834834">
              <w:rPr>
                <w:lang w:val="fr-BE"/>
              </w:rPr>
              <w:t>La comptabilité est arrêtée à la clôture de l</w:t>
            </w:r>
            <w:r w:rsidR="00D0034C" w:rsidRPr="00834834">
              <w:rPr>
                <w:lang w:val="fr-BE"/>
              </w:rPr>
              <w:t>’</w:t>
            </w:r>
            <w:r w:rsidRPr="00834834">
              <w:rPr>
                <w:lang w:val="fr-BE"/>
              </w:rPr>
              <w:t>exercice budgétaire en vue de l</w:t>
            </w:r>
            <w:r w:rsidR="00D0034C" w:rsidRPr="00834834">
              <w:rPr>
                <w:lang w:val="fr-BE"/>
              </w:rPr>
              <w:t>’</w:t>
            </w:r>
            <w:r w:rsidRPr="00834834">
              <w:rPr>
                <w:lang w:val="fr-BE"/>
              </w:rPr>
              <w:t>établissement d</w:t>
            </w:r>
            <w:r w:rsidR="00D0034C" w:rsidRPr="00834834">
              <w:rPr>
                <w:lang w:val="fr-BE"/>
              </w:rPr>
              <w:t>’</w:t>
            </w:r>
            <w:r w:rsidRPr="00834834">
              <w:rPr>
                <w:lang w:val="fr-BE"/>
              </w:rPr>
              <w:t>un bilan financier pour l</w:t>
            </w:r>
            <w:r w:rsidR="00D0034C" w:rsidRPr="00834834">
              <w:rPr>
                <w:lang w:val="fr-BE"/>
              </w:rPr>
              <w:t>’</w:t>
            </w:r>
            <w:r w:rsidRPr="00834834">
              <w:rPr>
                <w:lang w:val="fr-BE"/>
              </w:rPr>
              <w:t xml:space="preserve">École et </w:t>
            </w:r>
            <w:r w:rsidR="007F217A" w:rsidRPr="00834834">
              <w:rPr>
                <w:lang w:val="fr-BE"/>
              </w:rPr>
              <w:t>du compte de résultat prévu aux Titres V et VI. Le bilan financier et le compte de résultat de l’École doivent être soumis au Conseil d’administration et à l’ordonnateur responsable.</w:t>
            </w:r>
          </w:p>
          <w:p w14:paraId="00C4FDBC" w14:textId="70184536" w:rsidR="004A2404" w:rsidRPr="007A1590" w:rsidRDefault="004A2404" w:rsidP="007A1590">
            <w:pPr>
              <w:pStyle w:val="Heading2"/>
            </w:pPr>
            <w:r w:rsidRPr="007A1590">
              <w:t>SECTION</w:t>
            </w:r>
            <w:r w:rsidR="00D0034C" w:rsidRPr="007A1590">
              <w:t> </w:t>
            </w:r>
            <w:r w:rsidRPr="007A1590">
              <w:t>III</w:t>
            </w:r>
          </w:p>
          <w:p w14:paraId="2046D7D6" w14:textId="77777777" w:rsidR="004A2404" w:rsidRPr="007A1590" w:rsidRDefault="006D3B43" w:rsidP="007A1590">
            <w:pPr>
              <w:pStyle w:val="Heading2"/>
            </w:pPr>
            <w:r w:rsidRPr="007A1590">
              <w:t>INVENTAIRE DES IMMOBILISATIONS</w:t>
            </w:r>
          </w:p>
          <w:p w14:paraId="58D2EB9B" w14:textId="7C8DBEE0" w:rsidR="00AC34FA"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82</w:t>
            </w:r>
          </w:p>
          <w:p w14:paraId="59DC1EEF" w14:textId="1A726F04" w:rsidR="00937016" w:rsidRPr="00834834" w:rsidRDefault="004A2404" w:rsidP="007673A5">
            <w:pPr>
              <w:pStyle w:val="Subtitle"/>
              <w:rPr>
                <w:lang w:val="fr-BE"/>
              </w:rPr>
            </w:pPr>
            <w:r w:rsidRPr="00834834">
              <w:rPr>
                <w:lang w:val="fr-BE"/>
              </w:rPr>
              <w:t>L</w:t>
            </w:r>
            <w:r w:rsidR="00D0034C" w:rsidRPr="00834834">
              <w:rPr>
                <w:lang w:val="fr-BE"/>
              </w:rPr>
              <w:t>’</w:t>
            </w:r>
            <w:r w:rsidRPr="00834834">
              <w:rPr>
                <w:lang w:val="fr-BE"/>
              </w:rPr>
              <w:t>inventaire</w:t>
            </w:r>
          </w:p>
          <w:p w14:paraId="20400C56" w14:textId="5787D23D" w:rsidR="004A2404" w:rsidRPr="009B042C" w:rsidRDefault="004A2404" w:rsidP="00ED4F09">
            <w:pPr>
              <w:pStyle w:val="ListParagraph"/>
              <w:numPr>
                <w:ilvl w:val="0"/>
                <w:numId w:val="110"/>
              </w:numPr>
            </w:pPr>
            <w:r w:rsidRPr="009B042C">
              <w:t>Il est tenu en nombre et en valeur des inventaires permanents de tous les biens meubles et immeubles constituant les patrimoines de l</w:t>
            </w:r>
            <w:r w:rsidR="00D0034C" w:rsidRPr="009B042C">
              <w:t>’</w:t>
            </w:r>
            <w:r w:rsidRPr="009B042C">
              <w:t>École</w:t>
            </w:r>
            <w:r w:rsidR="007F217A" w:rsidRPr="009B042C">
              <w:t xml:space="preserve"> conformément au modèle arrêté par le comptable</w:t>
            </w:r>
            <w:r w:rsidRPr="009B042C">
              <w:t xml:space="preserve">. </w:t>
            </w:r>
          </w:p>
          <w:p w14:paraId="0C09CCB8" w14:textId="77777777" w:rsidR="007F217A" w:rsidRPr="00834834" w:rsidRDefault="007F217A" w:rsidP="009B042C">
            <w:pPr>
              <w:pStyle w:val="ListParagraph"/>
              <w:ind w:left="1161"/>
            </w:pPr>
            <w:r w:rsidRPr="00834834">
              <w:t>Dans le cadre du présent règlement, le système d’inventaire des immobilisations doit être établi par l’ordonnateur responsable avec l’assistance technique du comptable. Ce système d’inventaire doit fournir toutes les informations requises pour la tenue des comptes et la préservation des actifs.</w:t>
            </w:r>
          </w:p>
          <w:p w14:paraId="542609CC" w14:textId="696C78AC" w:rsidR="00AD742B" w:rsidRPr="00834834" w:rsidRDefault="00AD742B" w:rsidP="00ED4F09">
            <w:pPr>
              <w:pStyle w:val="ListParagraph"/>
              <w:numPr>
                <w:ilvl w:val="0"/>
                <w:numId w:val="110"/>
              </w:numPr>
            </w:pPr>
            <w:r w:rsidRPr="00834834">
              <w:t xml:space="preserve">Tous les biens meubles sont inscrits à ces inventaires </w:t>
            </w:r>
            <w:r w:rsidR="007F217A" w:rsidRPr="00834834">
              <w:t xml:space="preserve">et enregistrés dans les comptes d’immobilisations </w:t>
            </w:r>
            <w:r w:rsidRPr="00834834">
              <w:t>lorsque :</w:t>
            </w:r>
          </w:p>
          <w:p w14:paraId="5252A6AF" w14:textId="21F4D0F6" w:rsidR="00AD742B" w:rsidRPr="00834834" w:rsidRDefault="00AD742B" w:rsidP="00ED4F09">
            <w:pPr>
              <w:pStyle w:val="numbering2"/>
              <w:numPr>
                <w:ilvl w:val="2"/>
                <w:numId w:val="111"/>
              </w:numPr>
              <w:rPr>
                <w:rFonts w:asciiTheme="minorHAnsi" w:hAnsiTheme="minorHAnsi" w:cstheme="minorHAnsi"/>
              </w:rPr>
            </w:pPr>
            <w:proofErr w:type="gramStart"/>
            <w:r w:rsidRPr="00834834">
              <w:t>ils</w:t>
            </w:r>
            <w:proofErr w:type="gramEnd"/>
            <w:r w:rsidRPr="00834834">
              <w:t xml:space="preserve"> ont une valeur à l</w:t>
            </w:r>
            <w:r w:rsidR="00D0034C" w:rsidRPr="00834834">
              <w:t>’</w:t>
            </w:r>
            <w:r w:rsidRPr="00834834">
              <w:t xml:space="preserve">achat </w:t>
            </w:r>
            <w:r w:rsidR="007F217A" w:rsidRPr="00834834">
              <w:t>ou du coût de production qui est égale ou supérieure à la valeur indiquée par les procédures comptables visées à l’article 35</w:t>
            </w:r>
            <w:r w:rsidRPr="00834834">
              <w:t xml:space="preserve">; </w:t>
            </w:r>
          </w:p>
          <w:p w14:paraId="47D15DAB" w14:textId="48013812" w:rsidR="00AD742B" w:rsidRPr="00834834" w:rsidRDefault="00AD742B" w:rsidP="00ED4F09">
            <w:pPr>
              <w:pStyle w:val="numbering2"/>
              <w:numPr>
                <w:ilvl w:val="2"/>
                <w:numId w:val="111"/>
              </w:numPr>
            </w:pPr>
            <w:proofErr w:type="gramStart"/>
            <w:r w:rsidRPr="00834834">
              <w:t>leur</w:t>
            </w:r>
            <w:proofErr w:type="gramEnd"/>
            <w:r w:rsidRPr="00834834">
              <w:t xml:space="preserve"> durée d</w:t>
            </w:r>
            <w:r w:rsidR="00D0034C" w:rsidRPr="00834834">
              <w:t>’</w:t>
            </w:r>
            <w:r w:rsidRPr="00834834">
              <w:t>utilisation est supérieure à un an ;</w:t>
            </w:r>
          </w:p>
          <w:p w14:paraId="723B71C4" w14:textId="64E088D1" w:rsidR="00BC795C" w:rsidRPr="00834834" w:rsidRDefault="00AD742B" w:rsidP="00ED4F09">
            <w:pPr>
              <w:pStyle w:val="numbering2"/>
              <w:numPr>
                <w:ilvl w:val="2"/>
                <w:numId w:val="111"/>
              </w:numPr>
            </w:pPr>
            <w:proofErr w:type="gramStart"/>
            <w:r w:rsidRPr="00834834">
              <w:t>et</w:t>
            </w:r>
            <w:proofErr w:type="gramEnd"/>
            <w:r w:rsidRPr="00834834">
              <w:t xml:space="preserve"> ils n</w:t>
            </w:r>
            <w:r w:rsidR="00D0034C" w:rsidRPr="00834834">
              <w:t>’</w:t>
            </w:r>
            <w:r w:rsidRPr="00834834">
              <w:t>ont pas un caractère de bien de consommation.</w:t>
            </w:r>
          </w:p>
          <w:p w14:paraId="6ED54888" w14:textId="32B16A71" w:rsidR="00780C6D" w:rsidRPr="00834834" w:rsidRDefault="00780C6D" w:rsidP="00ED4F09">
            <w:pPr>
              <w:pStyle w:val="ListParagraph"/>
              <w:numPr>
                <w:ilvl w:val="0"/>
                <w:numId w:val="110"/>
              </w:numPr>
            </w:pPr>
            <w:r w:rsidRPr="00834834">
              <w:t>Pour chaque bien acquis, les entrées à l</w:t>
            </w:r>
            <w:r w:rsidR="00D0034C" w:rsidRPr="00834834">
              <w:t>’</w:t>
            </w:r>
            <w:r w:rsidRPr="00834834">
              <w:t>inventaire dont les accusés de réception font partie intégrante devront fournir une description appropriée du bien et préciser son emplacement, la date d</w:t>
            </w:r>
            <w:r w:rsidR="00D0034C" w:rsidRPr="00834834">
              <w:t>’</w:t>
            </w:r>
            <w:r w:rsidRPr="00834834">
              <w:t>acquisition et le coût unitaire.</w:t>
            </w:r>
          </w:p>
          <w:p w14:paraId="39CBEDB3" w14:textId="5B4D395B" w:rsidR="007F217A" w:rsidRPr="00834834" w:rsidRDefault="00297BA0" w:rsidP="00ED4F09">
            <w:pPr>
              <w:pStyle w:val="ListParagraph"/>
              <w:numPr>
                <w:ilvl w:val="0"/>
                <w:numId w:val="110"/>
              </w:numPr>
            </w:pPr>
            <w:r w:rsidRPr="00834834">
              <w:t>Les Écoles font vérifier par leurs propres services la concordance entre les écritures d</w:t>
            </w:r>
            <w:r w:rsidR="00D0034C" w:rsidRPr="00834834">
              <w:t>’</w:t>
            </w:r>
            <w:r w:rsidRPr="00834834">
              <w:t>inventaire et la réalité physique, permettant tous les trois ans le contrôle centralisé ; une copie du rapport d</w:t>
            </w:r>
            <w:r w:rsidR="00D0034C" w:rsidRPr="00834834">
              <w:t>’</w:t>
            </w:r>
            <w:r w:rsidRPr="00834834">
              <w:t>inspection est communiquée au Bureau du Secrétaire général.</w:t>
            </w:r>
          </w:p>
          <w:p w14:paraId="19CFEAE5" w14:textId="0B74026D"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83</w:t>
            </w:r>
          </w:p>
          <w:p w14:paraId="587303BE" w14:textId="77777777" w:rsidR="004A2404" w:rsidRPr="00834834" w:rsidRDefault="004A2404" w:rsidP="007673A5">
            <w:pPr>
              <w:pStyle w:val="Subtitle"/>
              <w:rPr>
                <w:lang w:val="fr-BE"/>
              </w:rPr>
            </w:pPr>
            <w:r w:rsidRPr="00834834">
              <w:rPr>
                <w:lang w:val="fr-BE"/>
              </w:rPr>
              <w:t>Procédure de vente des biens meubles</w:t>
            </w:r>
          </w:p>
          <w:p w14:paraId="4F6384D6" w14:textId="21BEE086" w:rsidR="00E853A2" w:rsidRPr="00834834" w:rsidRDefault="00E853A2" w:rsidP="009B042C">
            <w:pPr>
              <w:rPr>
                <w:lang w:val="fr-BE"/>
              </w:rPr>
            </w:pPr>
            <w:r w:rsidRPr="00834834">
              <w:rPr>
                <w:lang w:val="fr-BE"/>
              </w:rPr>
              <w:t>Les ventes de biens meubles font l</w:t>
            </w:r>
            <w:r w:rsidR="00D0034C" w:rsidRPr="00834834">
              <w:rPr>
                <w:lang w:val="fr-BE"/>
              </w:rPr>
              <w:t>’</w:t>
            </w:r>
            <w:r w:rsidRPr="00834834">
              <w:rPr>
                <w:lang w:val="fr-BE"/>
              </w:rPr>
              <w:t>objet d</w:t>
            </w:r>
            <w:r w:rsidR="00D0034C" w:rsidRPr="00834834">
              <w:rPr>
                <w:lang w:val="fr-BE"/>
              </w:rPr>
              <w:t>’</w:t>
            </w:r>
            <w:r w:rsidRPr="00834834">
              <w:rPr>
                <w:lang w:val="fr-BE"/>
              </w:rPr>
              <w:t>une publicité locale appropriée lorsque la valeur unitaire d</w:t>
            </w:r>
            <w:r w:rsidR="00D0034C" w:rsidRPr="00834834">
              <w:rPr>
                <w:lang w:val="fr-BE"/>
              </w:rPr>
              <w:t>’</w:t>
            </w:r>
            <w:r w:rsidRPr="00834834">
              <w:rPr>
                <w:lang w:val="fr-BE"/>
              </w:rPr>
              <w:t>achat est égale ou supérieure à 6 000 euros. Cependant, lorsqu</w:t>
            </w:r>
            <w:r w:rsidR="00D0034C" w:rsidRPr="00834834">
              <w:rPr>
                <w:lang w:val="fr-BE"/>
              </w:rPr>
              <w:t>’</w:t>
            </w:r>
            <w:r w:rsidRPr="00834834">
              <w:rPr>
                <w:lang w:val="fr-BE"/>
              </w:rPr>
              <w:t>en raison du coût de la publicité, l</w:t>
            </w:r>
            <w:r w:rsidR="00D0034C" w:rsidRPr="00834834">
              <w:rPr>
                <w:lang w:val="fr-BE"/>
              </w:rPr>
              <w:t>’</w:t>
            </w:r>
            <w:r w:rsidRPr="00834834">
              <w:rPr>
                <w:lang w:val="fr-BE"/>
              </w:rPr>
              <w:t>opération ne présente pas d</w:t>
            </w:r>
            <w:r w:rsidR="00D0034C" w:rsidRPr="00834834">
              <w:rPr>
                <w:lang w:val="fr-BE"/>
              </w:rPr>
              <w:t>’</w:t>
            </w:r>
            <w:r w:rsidRPr="00834834">
              <w:rPr>
                <w:lang w:val="fr-BE"/>
              </w:rPr>
              <w:t>avantages particuliers, il peut être renoncé à cette publicité.</w:t>
            </w:r>
          </w:p>
          <w:p w14:paraId="37EBE667" w14:textId="62204D31" w:rsidR="004A2404" w:rsidRDefault="004A2404" w:rsidP="009B042C">
            <w:pPr>
              <w:rPr>
                <w:lang w:val="fr-BE"/>
              </w:rPr>
            </w:pPr>
            <w:r w:rsidRPr="00834834">
              <w:rPr>
                <w:lang w:val="fr-BE"/>
              </w:rPr>
              <w:t>En dehors des cas où ces ventes se font par adjudication publique, les membres du personnel de l</w:t>
            </w:r>
            <w:r w:rsidR="00D0034C" w:rsidRPr="00834834">
              <w:rPr>
                <w:lang w:val="fr-BE"/>
              </w:rPr>
              <w:t>’</w:t>
            </w:r>
            <w:r w:rsidRPr="00834834">
              <w:rPr>
                <w:lang w:val="fr-BE"/>
              </w:rPr>
              <w:t>École ne peuvent se porter acquéreurs de biens meubles revendus ou autrement cédés par celle-ci.</w:t>
            </w:r>
          </w:p>
          <w:p w14:paraId="0C3E3A9A" w14:textId="4A5AEBB4" w:rsidR="0039221D" w:rsidRDefault="0039221D" w:rsidP="009B042C">
            <w:pPr>
              <w:rPr>
                <w:lang w:val="fr-BE"/>
              </w:rPr>
            </w:pPr>
          </w:p>
          <w:p w14:paraId="1D11365A" w14:textId="385EEBFE" w:rsidR="0039221D" w:rsidRDefault="0039221D" w:rsidP="009B042C">
            <w:pPr>
              <w:rPr>
                <w:lang w:val="fr-BE"/>
              </w:rPr>
            </w:pPr>
          </w:p>
          <w:p w14:paraId="2C904C30" w14:textId="77777777" w:rsidR="0039221D" w:rsidRPr="00834834" w:rsidRDefault="0039221D" w:rsidP="009B042C">
            <w:pPr>
              <w:rPr>
                <w:lang w:val="fr-BE"/>
              </w:rPr>
            </w:pPr>
          </w:p>
          <w:p w14:paraId="6FF2BD08" w14:textId="3604CB14" w:rsidR="004A2404" w:rsidRPr="00834834" w:rsidRDefault="004A2404" w:rsidP="007673A5">
            <w:pPr>
              <w:pStyle w:val="Subtitle"/>
              <w:rPr>
                <w:strike/>
                <w:lang w:val="fr-BE"/>
              </w:rPr>
            </w:pPr>
            <w:r w:rsidRPr="00834834">
              <w:rPr>
                <w:lang w:val="fr-BE"/>
              </w:rPr>
              <w:lastRenderedPageBreak/>
              <w:t>Article</w:t>
            </w:r>
            <w:r w:rsidR="00D0034C" w:rsidRPr="00834834">
              <w:rPr>
                <w:lang w:val="fr-BE"/>
              </w:rPr>
              <w:t> </w:t>
            </w:r>
            <w:r w:rsidRPr="00834834">
              <w:rPr>
                <w:lang w:val="fr-BE"/>
              </w:rPr>
              <w:t>84</w:t>
            </w:r>
          </w:p>
          <w:p w14:paraId="4E4ABDE9" w14:textId="77777777" w:rsidR="004A2404" w:rsidRPr="00834834" w:rsidRDefault="004A2404" w:rsidP="007673A5">
            <w:pPr>
              <w:pStyle w:val="Subtitle"/>
              <w:rPr>
                <w:lang w:val="fr-BE"/>
              </w:rPr>
            </w:pPr>
            <w:r w:rsidRPr="00834834">
              <w:rPr>
                <w:lang w:val="fr-BE"/>
              </w:rPr>
              <w:t>Procédure de cession des biens meubles</w:t>
            </w:r>
          </w:p>
          <w:p w14:paraId="246483F7" w14:textId="4FC3CBD6" w:rsidR="004A2404" w:rsidRPr="00834834" w:rsidRDefault="004A2404" w:rsidP="009B042C">
            <w:pPr>
              <w:rPr>
                <w:lang w:val="fr-BE"/>
              </w:rPr>
            </w:pPr>
            <w:r w:rsidRPr="00834834">
              <w:rPr>
                <w:lang w:val="fr-BE"/>
              </w:rPr>
              <w:t>La cession, à titre onéreux ou gratuit, la mise au rebut, la location et la disparition par perte, vol ou quelque cause que ce soit, des biens inventoriés donnent lieu à l’établissement d</w:t>
            </w:r>
            <w:r w:rsidR="00D0034C" w:rsidRPr="00834834">
              <w:rPr>
                <w:lang w:val="fr-BE"/>
              </w:rPr>
              <w:t>’</w:t>
            </w:r>
            <w:r w:rsidRPr="00834834">
              <w:rPr>
                <w:lang w:val="fr-BE"/>
              </w:rPr>
              <w:t>une déclaration ou d</w:t>
            </w:r>
            <w:r w:rsidR="00D0034C" w:rsidRPr="00834834">
              <w:rPr>
                <w:lang w:val="fr-BE"/>
              </w:rPr>
              <w:t>’</w:t>
            </w:r>
            <w:r w:rsidRPr="00834834">
              <w:rPr>
                <w:lang w:val="fr-BE"/>
              </w:rPr>
              <w:t>un procès-verbal de l</w:t>
            </w:r>
            <w:r w:rsidR="00D0034C" w:rsidRPr="00834834">
              <w:rPr>
                <w:lang w:val="fr-BE"/>
              </w:rPr>
              <w:t>’</w:t>
            </w:r>
            <w:r w:rsidRPr="00834834">
              <w:rPr>
                <w:bCs/>
                <w:lang w:val="fr-BE"/>
              </w:rPr>
              <w:t>ordonnateur responsable</w:t>
            </w:r>
            <w:r w:rsidRPr="00834834">
              <w:rPr>
                <w:lang w:val="fr-BE"/>
              </w:rPr>
              <w:t>.</w:t>
            </w:r>
          </w:p>
          <w:p w14:paraId="3F2758EC" w14:textId="739A24FB" w:rsidR="004A2404" w:rsidRPr="00834834" w:rsidRDefault="004A2404" w:rsidP="009B042C">
            <w:pPr>
              <w:rPr>
                <w:lang w:val="fr-BE"/>
              </w:rPr>
            </w:pPr>
            <w:r w:rsidRPr="00834834">
              <w:rPr>
                <w:lang w:val="fr-BE"/>
              </w:rPr>
              <w:t>La déclaration ou le procès-verbal doit constater en particulier l</w:t>
            </w:r>
            <w:r w:rsidR="00D0034C" w:rsidRPr="00834834">
              <w:rPr>
                <w:lang w:val="fr-BE"/>
              </w:rPr>
              <w:t>’</w:t>
            </w:r>
            <w:r w:rsidRPr="00834834">
              <w:rPr>
                <w:lang w:val="fr-BE"/>
              </w:rPr>
              <w:t>éventualité d</w:t>
            </w:r>
            <w:r w:rsidR="00D0034C" w:rsidRPr="00834834">
              <w:rPr>
                <w:lang w:val="fr-BE"/>
              </w:rPr>
              <w:t>’</w:t>
            </w:r>
            <w:r w:rsidRPr="00834834">
              <w:rPr>
                <w:lang w:val="fr-BE"/>
              </w:rPr>
              <w:t>une obligation de remplacement à la charge d</w:t>
            </w:r>
            <w:r w:rsidR="00D0034C" w:rsidRPr="00834834">
              <w:rPr>
                <w:lang w:val="fr-BE"/>
              </w:rPr>
              <w:t>’</w:t>
            </w:r>
            <w:r w:rsidRPr="00834834">
              <w:rPr>
                <w:lang w:val="fr-BE"/>
              </w:rPr>
              <w:t>un membre du personnel, d</w:t>
            </w:r>
            <w:r w:rsidR="00D0034C" w:rsidRPr="00834834">
              <w:rPr>
                <w:lang w:val="fr-BE"/>
              </w:rPr>
              <w:t>’</w:t>
            </w:r>
            <w:r w:rsidRPr="00834834">
              <w:rPr>
                <w:lang w:val="fr-BE"/>
              </w:rPr>
              <w:t>un élève de l</w:t>
            </w:r>
            <w:r w:rsidR="00D0034C" w:rsidRPr="00834834">
              <w:rPr>
                <w:lang w:val="fr-BE"/>
              </w:rPr>
              <w:t>’</w:t>
            </w:r>
            <w:r w:rsidRPr="00834834">
              <w:rPr>
                <w:lang w:val="fr-BE"/>
              </w:rPr>
              <w:t>École ou de toute autre personne.</w:t>
            </w:r>
          </w:p>
          <w:p w14:paraId="638B266E" w14:textId="1CADDA1A" w:rsidR="00443E32"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85</w:t>
            </w:r>
          </w:p>
          <w:p w14:paraId="6C4E3BD9" w14:textId="3577DF7C" w:rsidR="004A2404" w:rsidRPr="00834834" w:rsidRDefault="004A2404" w:rsidP="007673A5">
            <w:pPr>
              <w:pStyle w:val="Subtitle"/>
              <w:rPr>
                <w:lang w:val="fr-BE"/>
              </w:rPr>
            </w:pPr>
            <w:r w:rsidRPr="00834834">
              <w:rPr>
                <w:lang w:val="fr-BE"/>
              </w:rPr>
              <w:t>Inscription des biens dans l</w:t>
            </w:r>
            <w:r w:rsidR="00D0034C" w:rsidRPr="00834834">
              <w:rPr>
                <w:lang w:val="fr-BE"/>
              </w:rPr>
              <w:t>’</w:t>
            </w:r>
            <w:r w:rsidRPr="00834834">
              <w:rPr>
                <w:lang w:val="fr-BE"/>
              </w:rPr>
              <w:t>inventaire</w:t>
            </w:r>
          </w:p>
          <w:p w14:paraId="105AF7A2" w14:textId="08BD53FE" w:rsidR="004A2404" w:rsidRPr="00834834" w:rsidRDefault="004A2404" w:rsidP="009B042C">
            <w:pPr>
              <w:rPr>
                <w:lang w:val="fr-BE"/>
              </w:rPr>
            </w:pPr>
            <w:r w:rsidRPr="00834834">
              <w:rPr>
                <w:lang w:val="fr-BE"/>
              </w:rPr>
              <w:t>Toute acquisition de biens meubles ou immeubles tels qu</w:t>
            </w:r>
            <w:r w:rsidR="00D0034C" w:rsidRPr="00834834">
              <w:rPr>
                <w:lang w:val="fr-BE"/>
              </w:rPr>
              <w:t>’</w:t>
            </w:r>
            <w:r w:rsidRPr="00834834">
              <w:rPr>
                <w:lang w:val="fr-BE"/>
              </w:rPr>
              <w:t>ils sont définis à l</w:t>
            </w:r>
            <w:r w:rsidR="00D0034C" w:rsidRPr="00834834">
              <w:rPr>
                <w:lang w:val="fr-BE"/>
              </w:rPr>
              <w:t>’</w:t>
            </w:r>
            <w:r w:rsidRPr="00834834">
              <w:rPr>
                <w:lang w:val="fr-BE"/>
              </w:rPr>
              <w:t xml:space="preserve">article 82 donne lieu, avant paiement, à une inscription aux inventaires permanents. </w:t>
            </w:r>
          </w:p>
          <w:p w14:paraId="0CDAC8D0" w14:textId="77777777" w:rsidR="004A2404" w:rsidRPr="00834834" w:rsidRDefault="004A2404" w:rsidP="009B042C">
            <w:pPr>
              <w:rPr>
                <w:lang w:val="fr-BE"/>
              </w:rPr>
            </w:pPr>
            <w:r w:rsidRPr="00834834">
              <w:rPr>
                <w:lang w:val="fr-BE"/>
              </w:rPr>
              <w:t>Mention de cette inscription est portée sur la facture ou document annexe établi en vue du paiement de la dépense.</w:t>
            </w:r>
          </w:p>
          <w:p w14:paraId="0DB1E038" w14:textId="7F5C95FC" w:rsidR="004A2404" w:rsidRPr="00834834" w:rsidRDefault="004A2404" w:rsidP="007673A5">
            <w:pPr>
              <w:pStyle w:val="Heading1"/>
            </w:pPr>
            <w:r w:rsidRPr="00834834">
              <w:t>TITRE</w:t>
            </w:r>
            <w:r w:rsidR="00D0034C" w:rsidRPr="00834834">
              <w:t> </w:t>
            </w:r>
            <w:r w:rsidRPr="00834834">
              <w:t>VI</w:t>
            </w:r>
          </w:p>
          <w:p w14:paraId="7BF37771" w14:textId="77777777" w:rsidR="004A2404" w:rsidRPr="00834834" w:rsidRDefault="004A2404" w:rsidP="007673A5">
            <w:pPr>
              <w:pStyle w:val="Heading1"/>
            </w:pPr>
            <w:r w:rsidRPr="00834834">
              <w:t>CONTRÔLE EXTERNE ET DÉCHARGE</w:t>
            </w:r>
          </w:p>
          <w:p w14:paraId="3FC19961" w14:textId="77777777" w:rsidR="004A2404" w:rsidRPr="00834834" w:rsidRDefault="004A2404" w:rsidP="007673A5">
            <w:pPr>
              <w:pStyle w:val="Heading2"/>
            </w:pPr>
            <w:r w:rsidRPr="00834834">
              <w:t>SECTION I</w:t>
            </w:r>
          </w:p>
          <w:p w14:paraId="0125F190" w14:textId="77777777" w:rsidR="006D3B43" w:rsidRPr="00834834" w:rsidRDefault="006D3B43" w:rsidP="007673A5">
            <w:pPr>
              <w:pStyle w:val="Heading2"/>
            </w:pPr>
            <w:r w:rsidRPr="00834834">
              <w:t>CONTRÔLE EXTERNE</w:t>
            </w:r>
          </w:p>
          <w:p w14:paraId="27B0D431" w14:textId="7956175B" w:rsidR="00AC34FA"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86</w:t>
            </w:r>
          </w:p>
          <w:p w14:paraId="45C91C17" w14:textId="77777777" w:rsidR="004A2404" w:rsidRPr="00834834" w:rsidRDefault="004A2404" w:rsidP="007673A5">
            <w:pPr>
              <w:pStyle w:val="Subtitle"/>
              <w:rPr>
                <w:szCs w:val="24"/>
                <w:lang w:val="fr-BE"/>
              </w:rPr>
            </w:pPr>
            <w:r w:rsidRPr="00834834">
              <w:rPr>
                <w:szCs w:val="24"/>
                <w:lang w:val="fr-BE"/>
              </w:rPr>
              <w:t>Rapport annuel de la Cour des comptes</w:t>
            </w:r>
          </w:p>
          <w:p w14:paraId="2606175D" w14:textId="65836D85" w:rsidR="002C4256" w:rsidRPr="009B042C" w:rsidRDefault="00297BA0" w:rsidP="00ED4F09">
            <w:pPr>
              <w:pStyle w:val="ListParagraph"/>
              <w:numPr>
                <w:ilvl w:val="0"/>
                <w:numId w:val="112"/>
              </w:numPr>
            </w:pPr>
            <w:r w:rsidRPr="009B042C">
              <w:t>La Cour des comptes porte à la connaissance de l</w:t>
            </w:r>
            <w:r w:rsidR="00D0034C" w:rsidRPr="009B042C">
              <w:t>’</w:t>
            </w:r>
            <w:r w:rsidRPr="009B042C">
              <w:t>ordonnateur des Écoles européennes, pour le 1er juillet, les observations qui lui paraissent de nature à devoir figurer dans le rapport annuel. Ces observations demeurent confidentielles et sont soumises à une procédure contradictoire.</w:t>
            </w:r>
          </w:p>
          <w:p w14:paraId="7A0A801B" w14:textId="7B03C048" w:rsidR="00F85D86" w:rsidRPr="009B042C" w:rsidRDefault="004A2404" w:rsidP="009B042C">
            <w:pPr>
              <w:pStyle w:val="ListParagraph"/>
              <w:ind w:left="1117"/>
            </w:pPr>
            <w:r w:rsidRPr="009B042C">
              <w:t>L</w:t>
            </w:r>
            <w:r w:rsidR="00D0034C" w:rsidRPr="009B042C">
              <w:t>’</w:t>
            </w:r>
            <w:r w:rsidRPr="009B042C">
              <w:t xml:space="preserve">ordonnateur des Écoles européennes adresse sa réponse à la Cour des comptes, le </w:t>
            </w:r>
            <w:r w:rsidR="007F217A" w:rsidRPr="009B042C">
              <w:t>15 octobre</w:t>
            </w:r>
            <w:r w:rsidRPr="009B042C">
              <w:t xml:space="preserve"> au plus tard.</w:t>
            </w:r>
          </w:p>
          <w:p w14:paraId="54890648" w14:textId="7E0D6AAB" w:rsidR="002C4256" w:rsidRPr="009B042C" w:rsidRDefault="00297BA0" w:rsidP="00ED4F09">
            <w:pPr>
              <w:pStyle w:val="ListParagraph"/>
              <w:numPr>
                <w:ilvl w:val="0"/>
                <w:numId w:val="112"/>
              </w:numPr>
            </w:pPr>
            <w:r w:rsidRPr="009B042C">
              <w:t>Les observations de la Cour des comptes et les réponses qui lui ont été adressées sont portées à la connaissance des Conseils d</w:t>
            </w:r>
            <w:r w:rsidR="00D0034C" w:rsidRPr="009B042C">
              <w:t>’</w:t>
            </w:r>
            <w:r w:rsidRPr="009B042C">
              <w:t>administration des Écoles et du Conseil supérieur qui, lors de sa session au cours du premier trimestre de l</w:t>
            </w:r>
            <w:r w:rsidR="00D0034C" w:rsidRPr="009B042C">
              <w:t>’</w:t>
            </w:r>
            <w:r w:rsidRPr="009B042C">
              <w:t>année civile suivante, les examine et formule ses propres observations et recommandations.</w:t>
            </w:r>
          </w:p>
          <w:p w14:paraId="11D480D6" w14:textId="63C21CC7" w:rsidR="004A2404" w:rsidRPr="009B042C" w:rsidRDefault="00297BA0" w:rsidP="00ED4F09">
            <w:pPr>
              <w:pStyle w:val="ListParagraph"/>
              <w:numPr>
                <w:ilvl w:val="0"/>
                <w:numId w:val="112"/>
              </w:numPr>
            </w:pPr>
            <w:r w:rsidRPr="009B042C">
              <w:t xml:space="preserve">La Cour des comptes transmet </w:t>
            </w:r>
            <w:r w:rsidR="00A837C9" w:rsidRPr="009B042C">
              <w:t>au Conseil supérieur, en tant qu’autorité responsable de la décharge prévue à l’article 87, pour le 30 novembre, son rapport annuel assorti des réponses.</w:t>
            </w:r>
          </w:p>
          <w:p w14:paraId="205F39FB" w14:textId="77777777" w:rsidR="004A2404" w:rsidRPr="00834834" w:rsidRDefault="004A2404" w:rsidP="00F66D25">
            <w:pPr>
              <w:tabs>
                <w:tab w:val="left" w:pos="3975"/>
              </w:tabs>
              <w:rPr>
                <w:rFonts w:ascii="Times New Roman" w:hAnsi="Times New Roman"/>
                <w:sz w:val="24"/>
                <w:szCs w:val="24"/>
                <w:lang w:val="fr-BE"/>
              </w:rPr>
            </w:pPr>
          </w:p>
          <w:p w14:paraId="00401A6B" w14:textId="77777777" w:rsidR="004A2404" w:rsidRPr="00834834" w:rsidRDefault="004A2404" w:rsidP="007673A5">
            <w:pPr>
              <w:pStyle w:val="Heading2"/>
            </w:pPr>
            <w:r w:rsidRPr="00834834">
              <w:lastRenderedPageBreak/>
              <w:t>SECTION II</w:t>
            </w:r>
          </w:p>
          <w:p w14:paraId="3642323E" w14:textId="77777777" w:rsidR="006D3B43" w:rsidRPr="00834834" w:rsidRDefault="006D3B43" w:rsidP="007673A5">
            <w:pPr>
              <w:pStyle w:val="Heading2"/>
              <w:rPr>
                <w:szCs w:val="24"/>
              </w:rPr>
            </w:pPr>
            <w:r w:rsidRPr="00834834">
              <w:rPr>
                <w:szCs w:val="24"/>
              </w:rPr>
              <w:t>DÉCHARGE</w:t>
            </w:r>
          </w:p>
          <w:p w14:paraId="248E5748" w14:textId="3718E510" w:rsidR="004A2404"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87</w:t>
            </w:r>
          </w:p>
          <w:p w14:paraId="03B73675" w14:textId="77777777" w:rsidR="004A2404" w:rsidRPr="00834834" w:rsidRDefault="004A2404" w:rsidP="007673A5">
            <w:pPr>
              <w:pStyle w:val="Subtitle"/>
              <w:rPr>
                <w:lang w:val="fr-BE"/>
              </w:rPr>
            </w:pPr>
            <w:r w:rsidRPr="00834834">
              <w:rPr>
                <w:lang w:val="fr-BE"/>
              </w:rPr>
              <w:t>Procédure de décharge</w:t>
            </w:r>
          </w:p>
          <w:p w14:paraId="26B0DD0E" w14:textId="0F59EEA6" w:rsidR="004A2404" w:rsidRPr="00834834" w:rsidRDefault="004A2404" w:rsidP="00ED4F09">
            <w:pPr>
              <w:pStyle w:val="ListParagraph"/>
              <w:numPr>
                <w:ilvl w:val="0"/>
                <w:numId w:val="113"/>
              </w:numPr>
            </w:pPr>
            <w:r w:rsidRPr="00834834">
              <w:t>Le Conseil supérieur donne décharge à l</w:t>
            </w:r>
            <w:r w:rsidR="00D0034C" w:rsidRPr="00834834">
              <w:t>’</w:t>
            </w:r>
            <w:r w:rsidRPr="00834834">
              <w:t>ordonnateur des Écoles européennes et aux Conseils d</w:t>
            </w:r>
            <w:r w:rsidR="00D0034C" w:rsidRPr="00834834">
              <w:t>’</w:t>
            </w:r>
            <w:r w:rsidRPr="00834834">
              <w:t>administration, pour leurs responsabilités respectives, normalement avant le 30 avril de l</w:t>
            </w:r>
            <w:r w:rsidR="00D0034C" w:rsidRPr="00834834">
              <w:t>’</w:t>
            </w:r>
            <w:r w:rsidRPr="00834834">
              <w:t>année suivant le dépôt du rapport de la Cour des comptes.</w:t>
            </w:r>
          </w:p>
          <w:p w14:paraId="6A1D1E8D" w14:textId="082518EB" w:rsidR="004A2404" w:rsidRPr="00834834" w:rsidRDefault="004A2404" w:rsidP="00ED4F09">
            <w:pPr>
              <w:pStyle w:val="ListParagraph"/>
              <w:numPr>
                <w:ilvl w:val="0"/>
                <w:numId w:val="113"/>
              </w:numPr>
            </w:pPr>
            <w:r w:rsidRPr="00834834">
              <w:t>En vue d’octroyer la décharge, le Conseil supérieur examine le rapport annuel d</w:t>
            </w:r>
            <w:r w:rsidR="00D0034C" w:rsidRPr="00834834">
              <w:t>’</w:t>
            </w:r>
            <w:r w:rsidRPr="00834834">
              <w:t>activités, les comptes et les états financiers des Écoles européennes. Il examine également le rapport annuel établi par la Cour des comptes, accompagné des réponses de l</w:t>
            </w:r>
            <w:r w:rsidR="00D0034C" w:rsidRPr="00834834">
              <w:t>’</w:t>
            </w:r>
            <w:r w:rsidRPr="00834834">
              <w:t>ordonnateur des Écoles européennes et des ordonnateurs délégués.</w:t>
            </w:r>
          </w:p>
          <w:p w14:paraId="7A29F776" w14:textId="511857ED" w:rsidR="00CE3F66"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88</w:t>
            </w:r>
          </w:p>
          <w:p w14:paraId="37076DD1" w14:textId="77777777" w:rsidR="004A2404" w:rsidRPr="00834834" w:rsidRDefault="004A2404" w:rsidP="007673A5">
            <w:pPr>
              <w:pStyle w:val="Subtitle"/>
              <w:rPr>
                <w:lang w:val="fr-BE"/>
              </w:rPr>
            </w:pPr>
            <w:r w:rsidRPr="00834834">
              <w:rPr>
                <w:lang w:val="fr-BE"/>
              </w:rPr>
              <w:t>Mesures de suivi</w:t>
            </w:r>
          </w:p>
          <w:p w14:paraId="330CBFD2" w14:textId="60D28B8F" w:rsidR="004A2404" w:rsidRPr="009B042C" w:rsidRDefault="004A2404" w:rsidP="00ED4F09">
            <w:pPr>
              <w:pStyle w:val="ListParagraph"/>
              <w:numPr>
                <w:ilvl w:val="0"/>
                <w:numId w:val="114"/>
              </w:numPr>
            </w:pPr>
            <w:r w:rsidRPr="009B042C">
              <w:t>1.L</w:t>
            </w:r>
            <w:r w:rsidR="00D0034C" w:rsidRPr="009B042C">
              <w:t>’</w:t>
            </w:r>
            <w:r w:rsidRPr="009B042C">
              <w:t xml:space="preserve">ordonnateur des Écoles européennes prend toutes les mesures utiles pour donner suite aux observations figurant dans les décisions de décharge. </w:t>
            </w:r>
          </w:p>
          <w:p w14:paraId="0B27AD6A" w14:textId="5A556EF6" w:rsidR="004A2404" w:rsidRPr="009B042C" w:rsidRDefault="004A2404" w:rsidP="00ED4F09">
            <w:pPr>
              <w:pStyle w:val="ListParagraph"/>
              <w:numPr>
                <w:ilvl w:val="0"/>
                <w:numId w:val="114"/>
              </w:numPr>
            </w:pPr>
            <w:r w:rsidRPr="009B042C">
              <w:t>À la demande de l</w:t>
            </w:r>
            <w:r w:rsidR="00D0034C" w:rsidRPr="009B042C">
              <w:t>’</w:t>
            </w:r>
            <w:r w:rsidRPr="009B042C">
              <w:t>ordonnateur des Écoles européennes, les ordonnateurs délégués font rapport sur les mesures prises à la suite de ces observations et notamment sur les instructions adressées à ceux de leurs services qui interviennent dans l</w:t>
            </w:r>
            <w:r w:rsidR="00D0034C" w:rsidRPr="009B042C">
              <w:t>’</w:t>
            </w:r>
            <w:r w:rsidRPr="009B042C">
              <w:t>exécution du budget. Ces rapports sont également communiqués à la Cour des comptes.</w:t>
            </w:r>
          </w:p>
          <w:p w14:paraId="5788CEA2" w14:textId="223156CA" w:rsidR="004A2404" w:rsidRPr="00834834" w:rsidRDefault="004A2404" w:rsidP="007673A5">
            <w:pPr>
              <w:pStyle w:val="Heading1"/>
              <w:rPr>
                <w:szCs w:val="24"/>
              </w:rPr>
            </w:pPr>
            <w:r w:rsidRPr="00834834">
              <w:rPr>
                <w:szCs w:val="24"/>
              </w:rPr>
              <w:t>TITRE VII</w:t>
            </w:r>
          </w:p>
          <w:p w14:paraId="366BF531" w14:textId="77777777" w:rsidR="004A2404" w:rsidRPr="00834834" w:rsidRDefault="004A2404" w:rsidP="007673A5">
            <w:pPr>
              <w:pStyle w:val="Heading1"/>
              <w:rPr>
                <w:szCs w:val="24"/>
              </w:rPr>
            </w:pPr>
            <w:r w:rsidRPr="00834834">
              <w:rPr>
                <w:szCs w:val="24"/>
              </w:rPr>
              <w:t>FONDS DE RÉSERVE</w:t>
            </w:r>
          </w:p>
          <w:p w14:paraId="2B48A509" w14:textId="699D0401" w:rsidR="00CE3F66"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89</w:t>
            </w:r>
          </w:p>
          <w:p w14:paraId="1CF01101" w14:textId="76CAED53" w:rsidR="004A2404" w:rsidRPr="00834834" w:rsidRDefault="00106175" w:rsidP="007673A5">
            <w:pPr>
              <w:pStyle w:val="Subtitle"/>
              <w:rPr>
                <w:lang w:val="fr-BE"/>
              </w:rPr>
            </w:pPr>
            <w:r w:rsidRPr="00834834">
              <w:rPr>
                <w:lang w:val="fr-BE"/>
              </w:rPr>
              <w:t>Alimentation des fonds de réserve</w:t>
            </w:r>
          </w:p>
          <w:p w14:paraId="40C918D2" w14:textId="7B9FCB5F" w:rsidR="004A2404" w:rsidRPr="009B042C" w:rsidRDefault="004A2404" w:rsidP="00ED4F09">
            <w:pPr>
              <w:pStyle w:val="ListParagraph"/>
              <w:numPr>
                <w:ilvl w:val="0"/>
                <w:numId w:val="115"/>
              </w:numPr>
            </w:pPr>
            <w:r w:rsidRPr="009B042C">
              <w:t>Un fonds de réserve centralisé pour le Bureau du Secrétaire général et l</w:t>
            </w:r>
            <w:r w:rsidR="00D0034C" w:rsidRPr="009B042C">
              <w:t>’</w:t>
            </w:r>
            <w:r w:rsidRPr="009B042C">
              <w:t>ensemble des Écoles, excepté l</w:t>
            </w:r>
            <w:r w:rsidR="00D0034C" w:rsidRPr="009B042C">
              <w:t>’</w:t>
            </w:r>
            <w:r w:rsidRPr="009B042C">
              <w:t>École européenne de Munich, est alimenté par l</w:t>
            </w:r>
            <w:r w:rsidR="00D0034C" w:rsidRPr="009B042C">
              <w:t>’</w:t>
            </w:r>
            <w:r w:rsidRPr="009B042C">
              <w:t>affectation en fin d</w:t>
            </w:r>
            <w:r w:rsidR="00D0034C" w:rsidRPr="009B042C">
              <w:t>’</w:t>
            </w:r>
            <w:r w:rsidRPr="009B042C">
              <w:t>exercice de tout ou partie du solde des recettes après couverture des reports, résultant des comptes de gestion tels qu</w:t>
            </w:r>
            <w:r w:rsidR="00D0034C" w:rsidRPr="009B042C">
              <w:t>’</w:t>
            </w:r>
            <w:r w:rsidRPr="009B042C">
              <w:t>approuvés par le Secrétaire général et les Conseils d</w:t>
            </w:r>
            <w:r w:rsidR="00D0034C" w:rsidRPr="009B042C">
              <w:t>’</w:t>
            </w:r>
            <w:r w:rsidRPr="009B042C">
              <w:t>administration</w:t>
            </w:r>
            <w:r w:rsidR="00A837C9" w:rsidRPr="009B042C">
              <w:t>, afin que le fonds de réserve centralisé atteigne le volume défini à l’article 90.</w:t>
            </w:r>
          </w:p>
          <w:p w14:paraId="7DCA18BC" w14:textId="36C789E8" w:rsidR="004A2404" w:rsidRDefault="004A2404" w:rsidP="00ED4F09">
            <w:pPr>
              <w:pStyle w:val="ListParagraph"/>
              <w:numPr>
                <w:ilvl w:val="0"/>
                <w:numId w:val="115"/>
              </w:numPr>
            </w:pPr>
            <w:r w:rsidRPr="009B042C">
              <w:t>Un fonds de réserve pour l</w:t>
            </w:r>
            <w:r w:rsidR="00D0034C" w:rsidRPr="009B042C">
              <w:t>’</w:t>
            </w:r>
            <w:r w:rsidRPr="009B042C">
              <w:t>École européenne de Munich est alimenté par l</w:t>
            </w:r>
            <w:r w:rsidR="00D0034C" w:rsidRPr="009B042C">
              <w:t>’</w:t>
            </w:r>
            <w:r w:rsidRPr="009B042C">
              <w:t>affectation en fin d</w:t>
            </w:r>
            <w:r w:rsidR="00D0034C" w:rsidRPr="009B042C">
              <w:t>’</w:t>
            </w:r>
            <w:r w:rsidRPr="009B042C">
              <w:t>exercice de tout ou partie des recettes après couverture des reports, résultant du compte de gestion tel qu</w:t>
            </w:r>
            <w:r w:rsidR="00D0034C" w:rsidRPr="009B042C">
              <w:t>’</w:t>
            </w:r>
            <w:r w:rsidRPr="009B042C">
              <w:t>approuvé par le Conseil d</w:t>
            </w:r>
            <w:r w:rsidR="00D0034C" w:rsidRPr="009B042C">
              <w:t>’</w:t>
            </w:r>
            <w:r w:rsidR="00A837C9" w:rsidRPr="009B042C">
              <w:t>administration de cette École, afin que le fonds de réserve pour l’École de Munich atteigne le volume défini à l’article 90.</w:t>
            </w:r>
          </w:p>
          <w:p w14:paraId="4D23EC71" w14:textId="2DF1F305" w:rsidR="00CE3F66" w:rsidRPr="00834834" w:rsidRDefault="00D567A0" w:rsidP="007673A5">
            <w:pPr>
              <w:pStyle w:val="Subtitle"/>
              <w:rPr>
                <w:lang w:val="fr-BE"/>
              </w:rPr>
            </w:pPr>
            <w:r w:rsidRPr="00834834">
              <w:rPr>
                <w:lang w:val="fr-BE"/>
              </w:rPr>
              <w:t>Article</w:t>
            </w:r>
            <w:r w:rsidR="00D0034C" w:rsidRPr="00834834">
              <w:rPr>
                <w:lang w:val="fr-BE"/>
              </w:rPr>
              <w:t> </w:t>
            </w:r>
            <w:r w:rsidRPr="00834834">
              <w:rPr>
                <w:lang w:val="fr-BE"/>
              </w:rPr>
              <w:t>90</w:t>
            </w:r>
          </w:p>
          <w:p w14:paraId="76328689" w14:textId="542E7D2B" w:rsidR="004A2404" w:rsidRPr="00834834" w:rsidRDefault="00BF5E3E" w:rsidP="007673A5">
            <w:pPr>
              <w:pStyle w:val="Subtitle"/>
              <w:rPr>
                <w:lang w:val="fr-BE"/>
              </w:rPr>
            </w:pPr>
            <w:r w:rsidRPr="00834834">
              <w:rPr>
                <w:lang w:val="fr-BE"/>
              </w:rPr>
              <w:t>Volume des fonds de réserve</w:t>
            </w:r>
          </w:p>
          <w:p w14:paraId="0B602DA9" w14:textId="1815E48D" w:rsidR="004A2404" w:rsidRPr="00834834" w:rsidRDefault="004A2404" w:rsidP="00ED4F09">
            <w:pPr>
              <w:pStyle w:val="ListParagraph"/>
              <w:numPr>
                <w:ilvl w:val="0"/>
                <w:numId w:val="116"/>
              </w:numPr>
            </w:pPr>
            <w:r w:rsidRPr="00834834">
              <w:t>Le montant du fonds de réserve visé à l</w:t>
            </w:r>
            <w:r w:rsidR="00D0034C" w:rsidRPr="00834834">
              <w:t>’</w:t>
            </w:r>
            <w:r w:rsidRPr="00834834">
              <w:t>article 89, paragraphe 1 ne peut dépasser 1 % du total des crédits budgétaires de l</w:t>
            </w:r>
            <w:r w:rsidR="00D0034C" w:rsidRPr="00834834">
              <w:t>’</w:t>
            </w:r>
            <w:r w:rsidRPr="00834834">
              <w:t xml:space="preserve">exercice écoulé. </w:t>
            </w:r>
          </w:p>
          <w:p w14:paraId="03C4517D" w14:textId="7AAF4AFA" w:rsidR="004A2404" w:rsidRPr="009B042C" w:rsidRDefault="004A2404" w:rsidP="00ED4F09">
            <w:pPr>
              <w:pStyle w:val="ListParagraph"/>
              <w:numPr>
                <w:ilvl w:val="0"/>
                <w:numId w:val="116"/>
              </w:numPr>
            </w:pPr>
            <w:r w:rsidRPr="009B042C">
              <w:lastRenderedPageBreak/>
              <w:t>Le montant du fonds de réserve visé à l</w:t>
            </w:r>
            <w:r w:rsidR="00D0034C" w:rsidRPr="009B042C">
              <w:t>’</w:t>
            </w:r>
            <w:r w:rsidRPr="009B042C">
              <w:t>article 89, paragraphe 2 ne peut dépasser 1 % du total des crédits budgétaires de l</w:t>
            </w:r>
            <w:r w:rsidR="00D0034C" w:rsidRPr="009B042C">
              <w:t>’</w:t>
            </w:r>
            <w:r w:rsidRPr="009B042C">
              <w:t>exercice écoulé.</w:t>
            </w:r>
          </w:p>
          <w:p w14:paraId="1D76D884" w14:textId="3A1AF43F" w:rsidR="004037CA" w:rsidRPr="00834834" w:rsidRDefault="00D567A0" w:rsidP="009B042C">
            <w:pPr>
              <w:pStyle w:val="Subtitle"/>
              <w:rPr>
                <w:lang w:val="fr-BE"/>
              </w:rPr>
            </w:pPr>
            <w:r w:rsidRPr="00834834">
              <w:rPr>
                <w:lang w:val="fr-BE"/>
              </w:rPr>
              <w:t>Article</w:t>
            </w:r>
            <w:r w:rsidR="00D0034C" w:rsidRPr="00834834">
              <w:rPr>
                <w:lang w:val="fr-BE"/>
              </w:rPr>
              <w:t> </w:t>
            </w:r>
            <w:r w:rsidRPr="00834834">
              <w:rPr>
                <w:lang w:val="fr-BE"/>
              </w:rPr>
              <w:t>91</w:t>
            </w:r>
          </w:p>
          <w:p w14:paraId="735D0AF4" w14:textId="77777777" w:rsidR="004A2404" w:rsidRPr="00834834" w:rsidRDefault="00853A75" w:rsidP="009B042C">
            <w:pPr>
              <w:pStyle w:val="Subtitle"/>
              <w:rPr>
                <w:lang w:val="fr-BE"/>
              </w:rPr>
            </w:pPr>
            <w:r w:rsidRPr="00834834">
              <w:rPr>
                <w:lang w:val="fr-BE"/>
              </w:rPr>
              <w:t>Excédent de gestion</w:t>
            </w:r>
          </w:p>
          <w:p w14:paraId="537A2C06" w14:textId="41E8FD59" w:rsidR="004A2404" w:rsidRPr="00834834" w:rsidRDefault="004A2404" w:rsidP="009B042C">
            <w:pPr>
              <w:rPr>
                <w:lang w:val="fr-BE"/>
              </w:rPr>
            </w:pPr>
            <w:r w:rsidRPr="00834834">
              <w:rPr>
                <w:lang w:val="fr-BE"/>
              </w:rPr>
              <w:t>Dans le cas où l</w:t>
            </w:r>
            <w:r w:rsidR="00D0034C" w:rsidRPr="00834834">
              <w:rPr>
                <w:lang w:val="fr-BE"/>
              </w:rPr>
              <w:t>’</w:t>
            </w:r>
            <w:r w:rsidRPr="00834834">
              <w:rPr>
                <w:lang w:val="fr-BE"/>
              </w:rPr>
              <w:t>affectation de l</w:t>
            </w:r>
            <w:r w:rsidR="00D0034C" w:rsidRPr="00834834">
              <w:rPr>
                <w:lang w:val="fr-BE"/>
              </w:rPr>
              <w:t>’</w:t>
            </w:r>
            <w:r w:rsidRPr="00834834">
              <w:rPr>
                <w:lang w:val="fr-BE"/>
              </w:rPr>
              <w:t>excédent de gestion aurait pour effet de dépasser les limites citées à l</w:t>
            </w:r>
            <w:r w:rsidR="00D0034C" w:rsidRPr="00834834">
              <w:rPr>
                <w:lang w:val="fr-BE"/>
              </w:rPr>
              <w:t>’</w:t>
            </w:r>
            <w:r w:rsidRPr="00834834">
              <w:rPr>
                <w:lang w:val="fr-BE"/>
              </w:rPr>
              <w:t>article 90, le solde de ces excédents sera imputé en recettes budgétaires de l</w:t>
            </w:r>
            <w:r w:rsidR="00D0034C" w:rsidRPr="00834834">
              <w:rPr>
                <w:lang w:val="fr-BE"/>
              </w:rPr>
              <w:t>’</w:t>
            </w:r>
            <w:r w:rsidRPr="00834834">
              <w:rPr>
                <w:lang w:val="fr-BE"/>
              </w:rPr>
              <w:t>exercice suivant, au poste «</w:t>
            </w:r>
            <w:r w:rsidR="00D0034C" w:rsidRPr="00834834">
              <w:rPr>
                <w:lang w:val="fr-BE"/>
              </w:rPr>
              <w:t> </w:t>
            </w:r>
            <w:r w:rsidRPr="00834834">
              <w:rPr>
                <w:lang w:val="fr-BE"/>
              </w:rPr>
              <w:t>excédent de gestion</w:t>
            </w:r>
            <w:r w:rsidR="00D0034C" w:rsidRPr="00834834">
              <w:rPr>
                <w:lang w:val="fr-BE"/>
              </w:rPr>
              <w:t> </w:t>
            </w:r>
            <w:r w:rsidRPr="00834834">
              <w:rPr>
                <w:lang w:val="fr-BE"/>
              </w:rPr>
              <w:t>».</w:t>
            </w:r>
          </w:p>
          <w:p w14:paraId="10F7C5EA" w14:textId="2763513F" w:rsidR="004037CA"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92</w:t>
            </w:r>
          </w:p>
          <w:p w14:paraId="0C704C6C" w14:textId="6F528A06" w:rsidR="004A2404" w:rsidRPr="00834834" w:rsidRDefault="00BF5E3E" w:rsidP="007673A5">
            <w:pPr>
              <w:pStyle w:val="Subtitle"/>
              <w:rPr>
                <w:lang w:val="fr-BE"/>
              </w:rPr>
            </w:pPr>
            <w:r w:rsidRPr="00834834">
              <w:rPr>
                <w:bCs/>
                <w:lang w:val="fr-BE"/>
              </w:rPr>
              <w:t>But des fonds de réserve</w:t>
            </w:r>
          </w:p>
          <w:p w14:paraId="4B30775E" w14:textId="723A5CF3" w:rsidR="004A2404" w:rsidRPr="00834834" w:rsidRDefault="004A2404" w:rsidP="00ED4F09">
            <w:pPr>
              <w:pStyle w:val="ListParagraph"/>
              <w:numPr>
                <w:ilvl w:val="0"/>
                <w:numId w:val="117"/>
              </w:numPr>
            </w:pPr>
            <w:r w:rsidRPr="00834834">
              <w:t xml:space="preserve">Les fonds de réserve ainsi constitués sont destinés à pallier des difficultés momentanées de trésorerie. </w:t>
            </w:r>
          </w:p>
          <w:p w14:paraId="0189B6E7" w14:textId="440CC9D1" w:rsidR="005D0E75" w:rsidRPr="00834834" w:rsidRDefault="004A2404" w:rsidP="00ED4F09">
            <w:pPr>
              <w:pStyle w:val="ListParagraph"/>
              <w:numPr>
                <w:ilvl w:val="0"/>
                <w:numId w:val="117"/>
              </w:numPr>
            </w:pPr>
            <w:r w:rsidRPr="00834834">
              <w:t>Par décision du Conseil supérieur, ces fonds peuvent également servir à la couverture en recettes d</w:t>
            </w:r>
            <w:r w:rsidR="00D0034C" w:rsidRPr="00834834">
              <w:t>’</w:t>
            </w:r>
            <w:r w:rsidRPr="00834834">
              <w:t>un éventuel budget rectificatif nécessité par des dépenses de caractère exceptionnel et imprévisible.</w:t>
            </w:r>
          </w:p>
          <w:p w14:paraId="0D49DE7E" w14:textId="32EE9B9F" w:rsidR="004037CA" w:rsidRPr="00834834" w:rsidRDefault="00D567A0" w:rsidP="007673A5">
            <w:pPr>
              <w:pStyle w:val="Subtitle"/>
              <w:rPr>
                <w:lang w:val="fr-BE"/>
              </w:rPr>
            </w:pPr>
            <w:r w:rsidRPr="00834834">
              <w:rPr>
                <w:lang w:val="fr-BE"/>
              </w:rPr>
              <w:t>Article</w:t>
            </w:r>
            <w:r w:rsidR="00D0034C" w:rsidRPr="00834834">
              <w:rPr>
                <w:lang w:val="fr-BE"/>
              </w:rPr>
              <w:t> </w:t>
            </w:r>
            <w:r w:rsidRPr="00834834">
              <w:rPr>
                <w:lang w:val="fr-BE"/>
              </w:rPr>
              <w:t>93</w:t>
            </w:r>
          </w:p>
          <w:p w14:paraId="65E93148" w14:textId="1F7F9090" w:rsidR="004A2404" w:rsidRPr="00834834" w:rsidRDefault="00534E8E" w:rsidP="007673A5">
            <w:pPr>
              <w:pStyle w:val="Subtitle"/>
              <w:rPr>
                <w:lang w:val="fr-BE"/>
              </w:rPr>
            </w:pPr>
            <w:r w:rsidRPr="00834834">
              <w:rPr>
                <w:lang w:val="fr-BE"/>
              </w:rPr>
              <w:t>Autorisation du recours aux fonds de réserve</w:t>
            </w:r>
          </w:p>
          <w:p w14:paraId="3E14891F" w14:textId="61DA6981" w:rsidR="004A2404" w:rsidRPr="009B042C" w:rsidRDefault="004A2404" w:rsidP="00ED4F09">
            <w:pPr>
              <w:pStyle w:val="ListParagraph"/>
              <w:numPr>
                <w:ilvl w:val="0"/>
                <w:numId w:val="118"/>
              </w:numPr>
            </w:pPr>
            <w:r w:rsidRPr="009B042C">
              <w:t>En application de l</w:t>
            </w:r>
            <w:r w:rsidR="00D0034C" w:rsidRPr="009B042C">
              <w:t>’</w:t>
            </w:r>
            <w:r w:rsidRPr="009B042C">
              <w:t>article 92, paragraphe 1, le recours, sur proposition écrite de l</w:t>
            </w:r>
            <w:r w:rsidR="00D0034C" w:rsidRPr="009B042C">
              <w:t>’</w:t>
            </w:r>
            <w:r w:rsidRPr="009B042C">
              <w:t>ordonnateur délégué, au fonds de réserve visé à l</w:t>
            </w:r>
            <w:r w:rsidR="00D0034C" w:rsidRPr="009B042C">
              <w:t>’</w:t>
            </w:r>
            <w:r w:rsidRPr="009B042C">
              <w:t>article 89, paragraphe 1 fait l</w:t>
            </w:r>
            <w:r w:rsidR="00D0034C" w:rsidRPr="009B042C">
              <w:t>’</w:t>
            </w:r>
            <w:r w:rsidRPr="009B042C">
              <w:t>objet d</w:t>
            </w:r>
            <w:r w:rsidR="00D0034C" w:rsidRPr="009B042C">
              <w:t>’</w:t>
            </w:r>
            <w:r w:rsidRPr="009B042C">
              <w:t>une décision dûment motivée de l</w:t>
            </w:r>
            <w:r w:rsidR="00D0034C" w:rsidRPr="009B042C">
              <w:t>’</w:t>
            </w:r>
            <w:r w:rsidRPr="009B042C">
              <w:t>ordonnateur des Écoles européennes. Avant de prendre une décision, celui-ci s</w:t>
            </w:r>
            <w:r w:rsidR="00D0034C" w:rsidRPr="009B042C">
              <w:t>’</w:t>
            </w:r>
            <w:r w:rsidRPr="009B042C">
              <w:t>assure :</w:t>
            </w:r>
          </w:p>
          <w:p w14:paraId="34DD4EAB" w14:textId="3AFD91E4" w:rsidR="004A2404" w:rsidRPr="00834834" w:rsidRDefault="004A2404" w:rsidP="00ED4F09">
            <w:pPr>
              <w:pStyle w:val="numbering2"/>
              <w:numPr>
                <w:ilvl w:val="0"/>
                <w:numId w:val="119"/>
              </w:numPr>
              <w:ind w:left="2153"/>
            </w:pPr>
            <w:proofErr w:type="gramStart"/>
            <w:r w:rsidRPr="00834834">
              <w:t>de</w:t>
            </w:r>
            <w:proofErr w:type="gramEnd"/>
            <w:r w:rsidRPr="00834834">
              <w:t xml:space="preserve"> la disponibilité des fonds dans le fonds de réserve ;</w:t>
            </w:r>
          </w:p>
          <w:p w14:paraId="291FB8E2" w14:textId="44064A30" w:rsidR="004A2404" w:rsidRPr="00834834" w:rsidRDefault="004A2404" w:rsidP="00ED4F09">
            <w:pPr>
              <w:pStyle w:val="numbering2"/>
              <w:numPr>
                <w:ilvl w:val="0"/>
                <w:numId w:val="119"/>
              </w:numPr>
              <w:ind w:left="2153"/>
            </w:pPr>
            <w:proofErr w:type="gramStart"/>
            <w:r w:rsidRPr="00834834">
              <w:t>la</w:t>
            </w:r>
            <w:proofErr w:type="gramEnd"/>
            <w:r w:rsidRPr="00834834">
              <w:t xml:space="preserve"> réalité de la difficulté momentanée de trésorerie ;</w:t>
            </w:r>
          </w:p>
          <w:p w14:paraId="410489DF" w14:textId="4058E8A2" w:rsidR="004A2404" w:rsidRPr="00834834" w:rsidRDefault="004A2404" w:rsidP="00ED4F09">
            <w:pPr>
              <w:pStyle w:val="numbering2"/>
              <w:numPr>
                <w:ilvl w:val="0"/>
                <w:numId w:val="119"/>
              </w:numPr>
              <w:ind w:left="2153"/>
            </w:pPr>
            <w:proofErr w:type="gramStart"/>
            <w:r w:rsidRPr="00834834">
              <w:t>que</w:t>
            </w:r>
            <w:proofErr w:type="gramEnd"/>
            <w:r w:rsidRPr="00834834">
              <w:t xml:space="preserve"> cette difficulté est la conséquence de circonstances étrangères à la volonté des Écoles et du Bureau du Secrétaire général.</w:t>
            </w:r>
          </w:p>
          <w:p w14:paraId="662A0CB2" w14:textId="770A8BB4" w:rsidR="004A2404" w:rsidRPr="00834834" w:rsidRDefault="004A2404" w:rsidP="00ED4F09">
            <w:pPr>
              <w:pStyle w:val="ListParagraph"/>
              <w:numPr>
                <w:ilvl w:val="0"/>
                <w:numId w:val="118"/>
              </w:numPr>
              <w:rPr>
                <w:bCs/>
              </w:rPr>
            </w:pPr>
            <w:r w:rsidRPr="00834834">
              <w:t>Dans la même hypothèse relative à l</w:t>
            </w:r>
            <w:r w:rsidR="00D0034C" w:rsidRPr="00834834">
              <w:t>’</w:t>
            </w:r>
            <w:r w:rsidRPr="00834834">
              <w:t>École européenne de Munich, le recours au fonds fait l</w:t>
            </w:r>
            <w:r w:rsidR="00D0034C" w:rsidRPr="00834834">
              <w:t>’</w:t>
            </w:r>
            <w:r w:rsidRPr="00834834">
              <w:t>objet d</w:t>
            </w:r>
            <w:r w:rsidR="00D0034C" w:rsidRPr="00834834">
              <w:t>’</w:t>
            </w:r>
            <w:r w:rsidRPr="00834834">
              <w:t>une décision dûment motivée de l</w:t>
            </w:r>
            <w:r w:rsidR="00D0034C" w:rsidRPr="00834834">
              <w:t>’</w:t>
            </w:r>
            <w:r w:rsidRPr="00834834">
              <w:t>ordonnateur des Écoles européennes et du Conseil d</w:t>
            </w:r>
            <w:r w:rsidR="00D0034C" w:rsidRPr="00834834">
              <w:t>’</w:t>
            </w:r>
            <w:r w:rsidRPr="00834834">
              <w:t>administration de cette École.</w:t>
            </w:r>
          </w:p>
          <w:p w14:paraId="7635FCF3" w14:textId="6A9E7598" w:rsidR="00AD7D39" w:rsidRPr="00834834" w:rsidRDefault="00BF5E3E" w:rsidP="00ED4F09">
            <w:pPr>
              <w:pStyle w:val="ListParagraph"/>
              <w:numPr>
                <w:ilvl w:val="0"/>
                <w:numId w:val="118"/>
              </w:numPr>
              <w:rPr>
                <w:bCs/>
              </w:rPr>
            </w:pPr>
            <w:r w:rsidRPr="00834834">
              <w:t>Un état de l</w:t>
            </w:r>
            <w:r w:rsidR="00D0034C" w:rsidRPr="00834834">
              <w:t>’</w:t>
            </w:r>
            <w:r w:rsidRPr="00834834">
              <w:t>évolution des fonds de réserve est établi pour chaque exercice afin d</w:t>
            </w:r>
            <w:r w:rsidR="00D0034C" w:rsidRPr="00834834">
              <w:t>’</w:t>
            </w:r>
            <w:r w:rsidRPr="00834834">
              <w:t>illustrer toute évolution desdits fonds au cours de la période correspondante.</w:t>
            </w:r>
          </w:p>
          <w:p w14:paraId="1035F2E3" w14:textId="136C3ADD" w:rsidR="004037CA" w:rsidRPr="00834834" w:rsidRDefault="00D567A0" w:rsidP="007673A5">
            <w:pPr>
              <w:pStyle w:val="Subtitle"/>
              <w:rPr>
                <w:lang w:val="fr-BE"/>
              </w:rPr>
            </w:pPr>
            <w:r w:rsidRPr="00834834">
              <w:rPr>
                <w:lang w:val="fr-BE"/>
              </w:rPr>
              <w:t>Article</w:t>
            </w:r>
            <w:r w:rsidR="00D0034C" w:rsidRPr="00834834">
              <w:rPr>
                <w:lang w:val="fr-BE"/>
              </w:rPr>
              <w:t> </w:t>
            </w:r>
            <w:r w:rsidRPr="00834834">
              <w:rPr>
                <w:lang w:val="fr-BE"/>
              </w:rPr>
              <w:t>94</w:t>
            </w:r>
          </w:p>
          <w:p w14:paraId="00B3A4A4" w14:textId="73FF3555" w:rsidR="004A2404" w:rsidRPr="00834834" w:rsidRDefault="00BF5E3E" w:rsidP="007673A5">
            <w:pPr>
              <w:pStyle w:val="Subtitle"/>
              <w:rPr>
                <w:lang w:val="fr-BE"/>
              </w:rPr>
            </w:pPr>
            <w:r w:rsidRPr="00834834">
              <w:rPr>
                <w:lang w:val="fr-BE"/>
              </w:rPr>
              <w:t>Liquidation des fonds de réserve</w:t>
            </w:r>
          </w:p>
          <w:p w14:paraId="06BFE792" w14:textId="2F2DE7DB" w:rsidR="004A2404" w:rsidRPr="003F454C" w:rsidRDefault="007517F4" w:rsidP="001D4AA7">
            <w:pPr>
              <w:rPr>
                <w:lang w:val="fr-BE"/>
              </w:rPr>
            </w:pPr>
            <w:r w:rsidRPr="003F454C">
              <w:rPr>
                <w:lang w:val="fr-BE"/>
              </w:rPr>
              <w:t>En cas de liquidation du fonds de réserve mentionné à l</w:t>
            </w:r>
            <w:r w:rsidR="00D0034C" w:rsidRPr="003F454C">
              <w:rPr>
                <w:lang w:val="fr-BE"/>
              </w:rPr>
              <w:t>’</w:t>
            </w:r>
            <w:r w:rsidRPr="003F454C">
              <w:rPr>
                <w:lang w:val="fr-BE"/>
              </w:rPr>
              <w:t xml:space="preserve">article 89, paragraphe 1, le budget général de l’Union européenne est destinataire du solde. </w:t>
            </w:r>
          </w:p>
          <w:p w14:paraId="0B23842A" w14:textId="0F247821" w:rsidR="004A2404" w:rsidRPr="003F454C" w:rsidRDefault="007517F4" w:rsidP="001D4AA7">
            <w:pPr>
              <w:rPr>
                <w:sz w:val="24"/>
                <w:szCs w:val="24"/>
                <w:lang w:val="fr-BE"/>
              </w:rPr>
            </w:pPr>
            <w:r w:rsidRPr="003F454C">
              <w:rPr>
                <w:sz w:val="24"/>
                <w:szCs w:val="24"/>
                <w:lang w:val="fr-BE"/>
              </w:rPr>
              <w:t>En cas de liquidation du fonds de réserve mentionné à l</w:t>
            </w:r>
            <w:r w:rsidR="00D0034C" w:rsidRPr="003F454C">
              <w:rPr>
                <w:sz w:val="24"/>
                <w:szCs w:val="24"/>
                <w:lang w:val="fr-BE"/>
              </w:rPr>
              <w:t>’</w:t>
            </w:r>
            <w:r w:rsidRPr="003F454C">
              <w:rPr>
                <w:sz w:val="24"/>
                <w:szCs w:val="24"/>
                <w:lang w:val="fr-BE"/>
              </w:rPr>
              <w:t>article 89, paragraphe 2, l</w:t>
            </w:r>
            <w:r w:rsidR="00D0034C" w:rsidRPr="003F454C">
              <w:rPr>
                <w:sz w:val="24"/>
                <w:szCs w:val="24"/>
                <w:lang w:val="fr-BE"/>
              </w:rPr>
              <w:t>’</w:t>
            </w:r>
            <w:r w:rsidRPr="003F454C">
              <w:rPr>
                <w:sz w:val="24"/>
                <w:szCs w:val="24"/>
                <w:lang w:val="fr-BE"/>
              </w:rPr>
              <w:t>Office européen des brevets est destinataire du solde.</w:t>
            </w:r>
          </w:p>
          <w:p w14:paraId="68581545" w14:textId="4F1BD4F3" w:rsidR="004A2404" w:rsidRPr="00834834" w:rsidRDefault="004A2404" w:rsidP="007673A5">
            <w:pPr>
              <w:pStyle w:val="Heading1"/>
            </w:pPr>
            <w:r w:rsidRPr="00834834">
              <w:lastRenderedPageBreak/>
              <w:t>TITRE VIII</w:t>
            </w:r>
          </w:p>
          <w:p w14:paraId="1634E863" w14:textId="77777777" w:rsidR="004A2404" w:rsidRPr="00834834" w:rsidRDefault="004A2404" w:rsidP="007673A5">
            <w:pPr>
              <w:pStyle w:val="Heading1"/>
            </w:pPr>
            <w:r w:rsidRPr="00834834">
              <w:t>EXPERTS</w:t>
            </w:r>
          </w:p>
          <w:p w14:paraId="22E1BB3B" w14:textId="6B5E2DDE" w:rsidR="00105FD0"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95</w:t>
            </w:r>
          </w:p>
          <w:p w14:paraId="48D891F6" w14:textId="77777777" w:rsidR="004A2404" w:rsidRPr="00834834" w:rsidRDefault="00A22E9D" w:rsidP="007673A5">
            <w:pPr>
              <w:pStyle w:val="Subtitle"/>
              <w:rPr>
                <w:lang w:val="fr-BE"/>
              </w:rPr>
            </w:pPr>
            <w:r w:rsidRPr="00834834">
              <w:rPr>
                <w:lang w:val="fr-BE"/>
              </w:rPr>
              <w:t>Procédure de sélection des experts</w:t>
            </w:r>
          </w:p>
          <w:p w14:paraId="376467CE" w14:textId="32036AA8" w:rsidR="00D54FAE" w:rsidRPr="009B042C" w:rsidRDefault="00D54FAE" w:rsidP="00ED4F09">
            <w:pPr>
              <w:pStyle w:val="ListParagraph"/>
              <w:numPr>
                <w:ilvl w:val="0"/>
                <w:numId w:val="121"/>
              </w:numPr>
            </w:pPr>
            <w:r w:rsidRPr="009B042C">
              <w:t>Pour les marchés d</w:t>
            </w:r>
            <w:r w:rsidR="00D0034C" w:rsidRPr="009B042C">
              <w:t>’</w:t>
            </w:r>
            <w:r w:rsidRPr="009B042C">
              <w:t>une valeur inférieure aux seuils fixés dans les règles applicables aux marchés publics conformément à l</w:t>
            </w:r>
            <w:r w:rsidR="00D0034C" w:rsidRPr="009B042C">
              <w:t>’</w:t>
            </w:r>
            <w:r w:rsidRPr="009B042C">
              <w:t>article 66 pour le recours à la procédure ouverte avec publication au Journal officiel de l</w:t>
            </w:r>
            <w:r w:rsidR="00D0034C" w:rsidRPr="009B042C">
              <w:t>’</w:t>
            </w:r>
            <w:r w:rsidRPr="009B042C">
              <w:t xml:space="preserve">Union européenne, des experts externes peuvent être sélectionnés sur la base de la procédure prévue au paragraphe 2 du présent article. De tels experts sont autorisés à proposer leurs services aux Écoles ou à collaborer avec elles, contre une rémunération fixe </w:t>
            </w:r>
            <w:r w:rsidR="00A837C9" w:rsidRPr="009B042C">
              <w:t xml:space="preserve">annoncée à l’avance, </w:t>
            </w:r>
            <w:r w:rsidRPr="009B042C">
              <w:t>à charge des Écoles ou d’un tiers, pour l’accomplissement de tâches dans un domaine d’expertise précis.</w:t>
            </w:r>
          </w:p>
          <w:p w14:paraId="35A0731F" w14:textId="481F8F3D" w:rsidR="00A837C9" w:rsidRPr="009B042C" w:rsidRDefault="00D54FAE" w:rsidP="00ED4F09">
            <w:pPr>
              <w:pStyle w:val="ListParagraph"/>
              <w:numPr>
                <w:ilvl w:val="0"/>
                <w:numId w:val="121"/>
              </w:numPr>
            </w:pPr>
            <w:r w:rsidRPr="009B042C">
              <w:t>Un appel à manifestation d</w:t>
            </w:r>
            <w:r w:rsidR="00D0034C" w:rsidRPr="009B042C">
              <w:t>’</w:t>
            </w:r>
            <w:r w:rsidRPr="009B042C">
              <w:t>intérêt est publié en particulier dans le Journal officiel de l</w:t>
            </w:r>
            <w:r w:rsidR="00D0034C" w:rsidRPr="009B042C">
              <w:t>’</w:t>
            </w:r>
            <w:r w:rsidRPr="009B042C">
              <w:t>Union européenne ou sur le site Internet de l</w:t>
            </w:r>
            <w:r w:rsidR="00D0034C" w:rsidRPr="009B042C">
              <w:t>’</w:t>
            </w:r>
            <w:r w:rsidRPr="009B042C">
              <w:t>École ou du Bureau du Secrétaire général, afin d</w:t>
            </w:r>
            <w:r w:rsidR="00D0034C" w:rsidRPr="009B042C">
              <w:t>’</w:t>
            </w:r>
            <w:r w:rsidRPr="009B042C">
              <w:t xml:space="preserve">assurer la publicité </w:t>
            </w:r>
            <w:proofErr w:type="gramStart"/>
            <w:r w:rsidRPr="009B042C">
              <w:t>la plus large possible</w:t>
            </w:r>
            <w:proofErr w:type="gramEnd"/>
            <w:r w:rsidRPr="009B042C">
              <w:t xml:space="preserve"> auprès des candidats potentiels et d</w:t>
            </w:r>
            <w:r w:rsidR="00D0034C" w:rsidRPr="009B042C">
              <w:t>’</w:t>
            </w:r>
            <w:r w:rsidRPr="009B042C">
              <w:t>établir une liste d</w:t>
            </w:r>
            <w:r w:rsidR="00D0034C" w:rsidRPr="009B042C">
              <w:t>’</w:t>
            </w:r>
            <w:r w:rsidRPr="009B042C">
              <w:t xml:space="preserve">experts. </w:t>
            </w:r>
            <w:r w:rsidR="00A837C9" w:rsidRPr="009B042C">
              <w:t>L’appel à manifestation d’intérêt comporte un descriptif des tâches, leur durée et les conditions de rémunération. La validité de la liste découlant de l’appel à manifestation d’intérêt ne dépasse pas cinq ans. Toute personne physique intéressée peut déposer sa candidature à tout moment durant la période de validité de la liste, à l’exception des trois derniers mois de celle-ci.</w:t>
            </w:r>
          </w:p>
          <w:p w14:paraId="4C5F2675" w14:textId="7DC6F9B0" w:rsidR="00252F35" w:rsidRPr="009B042C" w:rsidRDefault="00D54FAE" w:rsidP="00ED4F09">
            <w:pPr>
              <w:pStyle w:val="ListParagraph"/>
              <w:numPr>
                <w:ilvl w:val="0"/>
                <w:numId w:val="121"/>
              </w:numPr>
            </w:pPr>
            <w:r w:rsidRPr="009B042C">
              <w:t>Les experts externes ne figurent pas sur la liste visée au paragraphe 2 du présent article s’ils se trouvent dans l</w:t>
            </w:r>
            <w:r w:rsidR="00D0034C" w:rsidRPr="009B042C">
              <w:t>’</w:t>
            </w:r>
            <w:r w:rsidRPr="009B042C">
              <w:t>une des situations d</w:t>
            </w:r>
            <w:r w:rsidR="00D0034C" w:rsidRPr="009B042C">
              <w:t>’</w:t>
            </w:r>
            <w:r w:rsidRPr="009B042C">
              <w:t>exclusion de la participation aux marchés définies dans les règles applicables aux marchés publics conformément à l</w:t>
            </w:r>
            <w:r w:rsidR="00D0034C" w:rsidRPr="009B042C">
              <w:t>’</w:t>
            </w:r>
            <w:r w:rsidRPr="009B042C">
              <w:t>article 66.</w:t>
            </w:r>
          </w:p>
          <w:p w14:paraId="0B6AA25F" w14:textId="5565CFAB" w:rsidR="00D54FAE" w:rsidRPr="009B042C" w:rsidRDefault="00D54FAE" w:rsidP="00ED4F09">
            <w:pPr>
              <w:pStyle w:val="ListParagraph"/>
              <w:numPr>
                <w:ilvl w:val="0"/>
                <w:numId w:val="121"/>
              </w:numPr>
            </w:pPr>
            <w:r w:rsidRPr="009B042C">
              <w:t>Les experts externes figurant sur la liste visée au paragraphe 2 sont sélectionnés sur la base de leur capacité à effectuer les tâches visées au paragraphe 1 et conformément aux principes de non-discrimination, d</w:t>
            </w:r>
            <w:r w:rsidR="00D0034C" w:rsidRPr="009B042C">
              <w:t>’</w:t>
            </w:r>
            <w:r w:rsidRPr="009B042C">
              <w:t>égalité de traitement et d</w:t>
            </w:r>
            <w:r w:rsidR="00D0034C" w:rsidRPr="009B042C">
              <w:t>’</w:t>
            </w:r>
            <w:r w:rsidRPr="009B042C">
              <w:t>absence de conflit d</w:t>
            </w:r>
            <w:r w:rsidR="00D0034C" w:rsidRPr="009B042C">
              <w:t>’</w:t>
            </w:r>
            <w:r w:rsidRPr="009B042C">
              <w:t>intérêts.</w:t>
            </w:r>
          </w:p>
          <w:p w14:paraId="0A892D12" w14:textId="28FE7868" w:rsidR="004A2404" w:rsidRPr="00834834" w:rsidRDefault="004A2404" w:rsidP="007673A5">
            <w:pPr>
              <w:pStyle w:val="Heading1"/>
            </w:pPr>
            <w:r w:rsidRPr="00834834">
              <w:t>TITRE IX</w:t>
            </w:r>
          </w:p>
          <w:p w14:paraId="4B92AF0C" w14:textId="77777777" w:rsidR="004A2404" w:rsidRPr="00834834" w:rsidRDefault="004A2404" w:rsidP="007673A5">
            <w:pPr>
              <w:pStyle w:val="Heading1"/>
            </w:pPr>
            <w:r w:rsidRPr="00834834">
              <w:t>CONTRÔLES ET VÉRIFICATIONS MENÉS PAR L’OLAF</w:t>
            </w:r>
          </w:p>
          <w:p w14:paraId="4CAF9313" w14:textId="7C2ADCF9" w:rsidR="004037CA"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96</w:t>
            </w:r>
          </w:p>
          <w:p w14:paraId="06AA2D74" w14:textId="03649803" w:rsidR="004037CA" w:rsidRPr="00834834" w:rsidRDefault="00A22E9D" w:rsidP="007673A5">
            <w:pPr>
              <w:pStyle w:val="Subtitle"/>
              <w:rPr>
                <w:lang w:val="fr-BE"/>
              </w:rPr>
            </w:pPr>
            <w:r w:rsidRPr="00834834">
              <w:rPr>
                <w:lang w:val="fr-BE"/>
              </w:rPr>
              <w:t>Contrôles effectués par l</w:t>
            </w:r>
            <w:r w:rsidR="00D0034C" w:rsidRPr="00834834">
              <w:rPr>
                <w:lang w:val="fr-BE"/>
              </w:rPr>
              <w:t>’</w:t>
            </w:r>
            <w:r w:rsidRPr="00834834">
              <w:rPr>
                <w:lang w:val="fr-BE"/>
              </w:rPr>
              <w:t>OLAF</w:t>
            </w:r>
          </w:p>
          <w:p w14:paraId="499E5DAF" w14:textId="679CD38B" w:rsidR="004A2404" w:rsidRPr="009B042C" w:rsidRDefault="00A73277" w:rsidP="00ED4F09">
            <w:pPr>
              <w:pStyle w:val="ListParagraph"/>
              <w:numPr>
                <w:ilvl w:val="0"/>
                <w:numId w:val="122"/>
              </w:numPr>
            </w:pPr>
            <w:r w:rsidRPr="009B042C">
              <w:t>L’Office européen de lutte antifraude (OLAF) est habilité à effectuer des enquêtes administratives dans les Écoles européennes, y compris le droit d’accès en vue d’inspection conformément aux procédures prévues en droit communautaire pour la protection des intérêts financiers de l’Union contre les fraudes et autres irrégularités.</w:t>
            </w:r>
          </w:p>
          <w:p w14:paraId="06B6CEEF" w14:textId="066C5E2E" w:rsidR="007F6333" w:rsidRPr="009B042C" w:rsidRDefault="00A73277" w:rsidP="00ED4F09">
            <w:pPr>
              <w:pStyle w:val="ListParagraph"/>
              <w:numPr>
                <w:ilvl w:val="0"/>
                <w:numId w:val="122"/>
              </w:numPr>
            </w:pPr>
            <w:r w:rsidRPr="009B042C">
              <w:t xml:space="preserve">En vertu du Règlement (Euratom, CE) no 2988/95 du Conseil du 18 décembre 1995 sur la protection des intérêts financiers des Communautés européennes, du Règlement (Euratom, CE) no 2185/96 du Conseil du 11 novembre 1996 relatif aux contrôles et vérifications sur place effectués par la Commission pour la protection des intérêts financiers des Communautés européennes contre les fraudes et autres irrégularités et du Règlement (CE) no 883/2013 du Parlement européen et du Conseil du 11 septembre 2013 relatif aux enquêtes effectuées par l’Office européen de lutte antifraude (OLAF), l’OLAF peut également effectuer des contrôles et vérifications sur place en lien avec des cas de fraude ou de toute autre irrégularité préjudiciable aux intérêts financiers des Écoles européennes ou des Parties contractantes visées à l’article 25 de la Convention portant </w:t>
            </w:r>
            <w:r w:rsidRPr="009B042C">
              <w:lastRenderedPageBreak/>
              <w:t>Statut des Écoles européennes et conformément aux procédures prévues en droit communautaire pour la protection des intérêts financiers de l’Union contre les fraudes et autres irrégularités. Le cas échéant, les conclusions des enquêtes effectuées par l’OLAF peuvent entraîner un recouvrement par les autorités compétentes.</w:t>
            </w:r>
          </w:p>
          <w:p w14:paraId="4161546C" w14:textId="5AEB3507" w:rsidR="004A2404" w:rsidRPr="00834834" w:rsidRDefault="004A2404" w:rsidP="007673A5">
            <w:pPr>
              <w:pStyle w:val="Heading1"/>
            </w:pPr>
            <w:r w:rsidRPr="00834834">
              <w:t>TITRE X</w:t>
            </w:r>
          </w:p>
          <w:p w14:paraId="4DF092C4" w14:textId="77777777" w:rsidR="004A2404" w:rsidRPr="00834834" w:rsidRDefault="004A2404" w:rsidP="007673A5">
            <w:pPr>
              <w:pStyle w:val="Heading1"/>
            </w:pPr>
            <w:r w:rsidRPr="00834834">
              <w:t>DISPOSITIONS TRANSITOIRES ET FINALES</w:t>
            </w:r>
          </w:p>
          <w:p w14:paraId="7CEEC77B" w14:textId="47D57869" w:rsidR="004037CA"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97</w:t>
            </w:r>
          </w:p>
          <w:p w14:paraId="6F67A461" w14:textId="77777777" w:rsidR="004A2404" w:rsidRPr="00834834" w:rsidRDefault="00A22E9D" w:rsidP="007673A5">
            <w:pPr>
              <w:pStyle w:val="Subtitle"/>
              <w:rPr>
                <w:strike/>
                <w:lang w:val="fr-BE"/>
              </w:rPr>
            </w:pPr>
            <w:r w:rsidRPr="00834834">
              <w:rPr>
                <w:lang w:val="fr-BE"/>
              </w:rPr>
              <w:t>Assistance au Conseil supérieur</w:t>
            </w:r>
          </w:p>
          <w:p w14:paraId="761A1040" w14:textId="77777777" w:rsidR="004A2404" w:rsidRPr="00834834" w:rsidRDefault="004A2404" w:rsidP="007673A5">
            <w:pPr>
              <w:rPr>
                <w:lang w:val="fr-BE"/>
              </w:rPr>
            </w:pPr>
            <w:r w:rsidRPr="00834834">
              <w:rPr>
                <w:lang w:val="fr-BE"/>
              </w:rPr>
              <w:t>Le Conseil supérieur se fait assister par le Comité budgétaire.</w:t>
            </w:r>
          </w:p>
          <w:p w14:paraId="60EE608F" w14:textId="790B100C" w:rsidR="004037CA" w:rsidRPr="00834834" w:rsidRDefault="004A2404" w:rsidP="007673A5">
            <w:pPr>
              <w:pStyle w:val="Subtitle"/>
              <w:rPr>
                <w:lang w:val="fr-BE"/>
              </w:rPr>
            </w:pPr>
            <w:r w:rsidRPr="00834834">
              <w:rPr>
                <w:lang w:val="fr-BE"/>
              </w:rPr>
              <w:t>Article</w:t>
            </w:r>
            <w:r w:rsidR="00D0034C" w:rsidRPr="00834834">
              <w:rPr>
                <w:lang w:val="fr-BE"/>
              </w:rPr>
              <w:t> </w:t>
            </w:r>
            <w:r w:rsidRPr="00834834">
              <w:rPr>
                <w:lang w:val="fr-BE"/>
              </w:rPr>
              <w:t xml:space="preserve">98 </w:t>
            </w:r>
          </w:p>
          <w:p w14:paraId="33FB2AC9" w14:textId="28309B41" w:rsidR="004A2404" w:rsidRPr="00834834" w:rsidRDefault="00C85745" w:rsidP="007673A5">
            <w:pPr>
              <w:pStyle w:val="Subtitle"/>
              <w:rPr>
                <w:lang w:val="fr-BE"/>
              </w:rPr>
            </w:pPr>
            <w:r w:rsidRPr="00834834">
              <w:rPr>
                <w:lang w:val="fr-BE"/>
              </w:rPr>
              <w:t>Révision des Nomes de contrôle interne et du Code de normes professionnelles</w:t>
            </w:r>
          </w:p>
          <w:p w14:paraId="45A53CE2" w14:textId="469F558F" w:rsidR="004A2404" w:rsidRPr="00834834" w:rsidRDefault="004A2404" w:rsidP="007673A5">
            <w:pPr>
              <w:rPr>
                <w:lang w:val="fr-BE"/>
              </w:rPr>
            </w:pPr>
            <w:r w:rsidRPr="00834834">
              <w:rPr>
                <w:lang w:val="fr-BE"/>
              </w:rPr>
              <w:t>Les Normes de contrôle interne et le Code de normes professionnelles, visés respectivement aux articles 29 et 32, sont soumis à révision chaque fois que cela s’avère nécessaire, compte tenu notamment des modifications pertinentes apportées au texte du présent Règlement.</w:t>
            </w:r>
          </w:p>
          <w:p w14:paraId="6F1D7819" w14:textId="76F891DE" w:rsidR="004A2404" w:rsidRPr="00834834" w:rsidRDefault="00D567A0" w:rsidP="007673A5">
            <w:pPr>
              <w:pStyle w:val="Subtitle"/>
              <w:rPr>
                <w:strike/>
                <w:lang w:val="fr-BE"/>
              </w:rPr>
            </w:pPr>
            <w:r w:rsidRPr="00834834">
              <w:rPr>
                <w:lang w:val="fr-BE"/>
              </w:rPr>
              <w:t>Article</w:t>
            </w:r>
            <w:r w:rsidR="00D0034C" w:rsidRPr="00834834">
              <w:rPr>
                <w:lang w:val="fr-BE"/>
              </w:rPr>
              <w:t> </w:t>
            </w:r>
            <w:r w:rsidRPr="00834834">
              <w:rPr>
                <w:lang w:val="fr-BE"/>
              </w:rPr>
              <w:t>99</w:t>
            </w:r>
          </w:p>
          <w:p w14:paraId="58955AA8" w14:textId="77777777" w:rsidR="00A22E9D" w:rsidRPr="00834834" w:rsidRDefault="00A22E9D" w:rsidP="007673A5">
            <w:pPr>
              <w:pStyle w:val="Subtitle"/>
              <w:rPr>
                <w:lang w:val="fr-BE"/>
              </w:rPr>
            </w:pPr>
            <w:r w:rsidRPr="00834834">
              <w:rPr>
                <w:lang w:val="fr-BE"/>
              </w:rPr>
              <w:t>Révision du Règlement financier</w:t>
            </w:r>
          </w:p>
          <w:p w14:paraId="00C0BCCB" w14:textId="20BA625B" w:rsidR="00A837C9" w:rsidRPr="00834834" w:rsidRDefault="00A837C9" w:rsidP="007673A5">
            <w:pPr>
              <w:rPr>
                <w:lang w:val="fr-BE"/>
              </w:rPr>
            </w:pPr>
            <w:r w:rsidRPr="00834834">
              <w:rPr>
                <w:lang w:val="fr-BE"/>
              </w:rPr>
              <w:t>Le présent Règlement peut faire l’objet de révisions. Sans préjudice des particularités des Ecoles européennes et, en particulier, de leur autonomie financière, le Bureau du Secrétaire général réexamine le présent Règlement et le révise si nécessaire, et en informe le Conseil supérieur, afin d’assurer son alignement rapide, le cas échéant, sur le Règlement financier applicable au budget général de l’Union européenne, dans un délai de deux ans à compter de la révision de ce dernier et de son entrée en vigueur, au fur et à mesure de ses révisions éventuelles. Nonobstant ce qui précède, le présent Règlement fait l’objet d’un réexamen par le Bureau du Secrétaire général, qui en informe le Conseil supérieur, tous les trois ans au plus tard et plus tôt chaque fois que cela s’avère nécessaire.</w:t>
            </w:r>
          </w:p>
          <w:p w14:paraId="0968656F" w14:textId="096DE45B" w:rsidR="003A7313" w:rsidRPr="00834834" w:rsidRDefault="003C5FFB" w:rsidP="007673A5">
            <w:pPr>
              <w:pStyle w:val="Subtitle"/>
              <w:rPr>
                <w:lang w:val="fr-BE"/>
              </w:rPr>
            </w:pPr>
            <w:r w:rsidRPr="00834834">
              <w:rPr>
                <w:lang w:val="fr-BE"/>
              </w:rPr>
              <w:t>Article</w:t>
            </w:r>
            <w:r w:rsidR="00D0034C" w:rsidRPr="00834834">
              <w:rPr>
                <w:lang w:val="fr-BE"/>
              </w:rPr>
              <w:t> </w:t>
            </w:r>
            <w:r w:rsidRPr="00834834">
              <w:rPr>
                <w:lang w:val="fr-BE"/>
              </w:rPr>
              <w:t>100</w:t>
            </w:r>
          </w:p>
          <w:p w14:paraId="051AB4B2" w14:textId="666F1ABA" w:rsidR="00A837C9" w:rsidRPr="00834834" w:rsidRDefault="00A837C9" w:rsidP="007673A5">
            <w:pPr>
              <w:pStyle w:val="Subtitle"/>
              <w:rPr>
                <w:lang w:val="fr-BE"/>
              </w:rPr>
            </w:pPr>
            <w:r w:rsidRPr="00834834">
              <w:rPr>
                <w:lang w:val="fr-BE"/>
              </w:rPr>
              <w:t>Entrée en vigueur et applicabilité</w:t>
            </w:r>
          </w:p>
          <w:p w14:paraId="01BB9A90" w14:textId="25355F07" w:rsidR="004A2404" w:rsidRPr="00834834" w:rsidRDefault="00A837C9" w:rsidP="007673A5">
            <w:pPr>
              <w:rPr>
                <w:lang w:val="fr-BE"/>
              </w:rPr>
            </w:pPr>
            <w:r w:rsidRPr="00834834">
              <w:rPr>
                <w:lang w:val="fr-BE"/>
              </w:rPr>
              <w:t>Le présent Règlement financier, comprenant les modifications approuvées par le Conseil supérieur lors de sa réunion de décembre 2020 et énoncées aux articles 7a, 18, 20, 21, 22, 23, 30, 35, 37, 47, 48, 49, 66, 67, 68, 69, 71, 72, 73, 74, 75, 81, 82, 86, 89, 95 et 99, entre en vigueur et s’applique à compter du 1er janvier 2021.</w:t>
            </w:r>
          </w:p>
        </w:tc>
      </w:tr>
    </w:tbl>
    <w:p w14:paraId="6818B43B" w14:textId="77777777" w:rsidR="00A274A0" w:rsidRPr="00834834" w:rsidRDefault="00A274A0" w:rsidP="00F66D25">
      <w:pPr>
        <w:rPr>
          <w:rFonts w:ascii="Times New Roman" w:hAnsi="Times New Roman"/>
          <w:sz w:val="24"/>
          <w:szCs w:val="24"/>
          <w:lang w:val="fr-BE"/>
        </w:rPr>
      </w:pPr>
    </w:p>
    <w:sectPr w:rsidR="00A274A0" w:rsidRPr="00834834" w:rsidSect="00CC377A">
      <w:headerReference w:type="default" r:id="rId10"/>
      <w:footerReference w:type="default" r:id="rId11"/>
      <w:footerReference w:type="first" r:id="rId12"/>
      <w:pgSz w:w="11906" w:h="16838"/>
      <w:pgMar w:top="340" w:right="601" w:bottom="454" w:left="1055" w:header="238"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31515" w14:textId="77777777" w:rsidR="00586575" w:rsidRDefault="00586575" w:rsidP="0040246D">
      <w:r>
        <w:separator/>
      </w:r>
    </w:p>
  </w:endnote>
  <w:endnote w:type="continuationSeparator" w:id="0">
    <w:p w14:paraId="56E48170" w14:textId="77777777" w:rsidR="00586575" w:rsidRDefault="00586575" w:rsidP="0040246D">
      <w:r>
        <w:continuationSeparator/>
      </w:r>
    </w:p>
  </w:endnote>
  <w:endnote w:type="continuationNotice" w:id="1">
    <w:p w14:paraId="0AE13E51" w14:textId="77777777" w:rsidR="00586575" w:rsidRDefault="00586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138408"/>
      <w:docPartObj>
        <w:docPartGallery w:val="Page Numbers (Bottom of Page)"/>
        <w:docPartUnique/>
      </w:docPartObj>
    </w:sdtPr>
    <w:sdtEndPr/>
    <w:sdtContent>
      <w:sdt>
        <w:sdtPr>
          <w:id w:val="-1165709984"/>
          <w:docPartObj>
            <w:docPartGallery w:val="Page Numbers (Top of Page)"/>
            <w:docPartUnique/>
          </w:docPartObj>
        </w:sdtPr>
        <w:sdtEndPr/>
        <w:sdtContent>
          <w:p w14:paraId="48A87F5B" w14:textId="46191ABA" w:rsidR="00586575" w:rsidRDefault="00586575" w:rsidP="005E62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w:t>
            </w:r>
            <w:r>
              <w:rPr>
                <w:lang w:val="de-DE"/>
              </w:rPr>
              <w:t>de</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49</w:t>
            </w:r>
            <w:r>
              <w:rPr>
                <w:b/>
                <w:bCs/>
                <w:sz w:val="24"/>
                <w:szCs w:val="24"/>
              </w:rPr>
              <w:fldChar w:fldCharType="end"/>
            </w:r>
          </w:p>
        </w:sdtContent>
      </w:sdt>
    </w:sdtContent>
  </w:sdt>
  <w:p w14:paraId="4346768F" w14:textId="77777777" w:rsidR="00586575" w:rsidRDefault="00586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590635"/>
      <w:docPartObj>
        <w:docPartGallery w:val="Page Numbers (Bottom of Page)"/>
        <w:docPartUnique/>
      </w:docPartObj>
    </w:sdtPr>
    <w:sdtEndPr/>
    <w:sdtContent>
      <w:sdt>
        <w:sdtPr>
          <w:id w:val="-1769616900"/>
          <w:docPartObj>
            <w:docPartGallery w:val="Page Numbers (Top of Page)"/>
            <w:docPartUnique/>
          </w:docPartObj>
        </w:sdtPr>
        <w:sdtEndPr/>
        <w:sdtContent>
          <w:p w14:paraId="552CB6BD" w14:textId="63CF3800" w:rsidR="00586575" w:rsidRDefault="005865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49</w:t>
            </w:r>
            <w:r>
              <w:rPr>
                <w:b/>
                <w:bCs/>
                <w:sz w:val="24"/>
                <w:szCs w:val="24"/>
              </w:rPr>
              <w:fldChar w:fldCharType="end"/>
            </w:r>
          </w:p>
        </w:sdtContent>
      </w:sdt>
    </w:sdtContent>
  </w:sdt>
  <w:p w14:paraId="3134E472" w14:textId="77777777" w:rsidR="00586575" w:rsidRDefault="0058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A4277" w14:textId="77777777" w:rsidR="00586575" w:rsidRDefault="00586575" w:rsidP="0040246D">
      <w:r>
        <w:separator/>
      </w:r>
    </w:p>
  </w:footnote>
  <w:footnote w:type="continuationSeparator" w:id="0">
    <w:p w14:paraId="7BD02C75" w14:textId="77777777" w:rsidR="00586575" w:rsidRDefault="00586575" w:rsidP="0040246D">
      <w:r>
        <w:continuationSeparator/>
      </w:r>
    </w:p>
  </w:footnote>
  <w:footnote w:type="continuationNotice" w:id="1">
    <w:p w14:paraId="377DAF97" w14:textId="77777777" w:rsidR="00586575" w:rsidRDefault="00586575"/>
  </w:footnote>
  <w:footnote w:id="2">
    <w:p w14:paraId="06C937DB" w14:textId="762BD394" w:rsidR="00586575" w:rsidRPr="007C4C55" w:rsidRDefault="00586575" w:rsidP="00060633">
      <w:pPr>
        <w:spacing w:line="190" w:lineRule="exact"/>
        <w:ind w:left="80"/>
        <w:rPr>
          <w:lang w:val="fr-BE"/>
        </w:rPr>
      </w:pPr>
      <w:r w:rsidRPr="007C4C55">
        <w:rPr>
          <w:vertAlign w:val="superscript"/>
          <w:lang w:val="fr-FR"/>
        </w:rPr>
        <w:footnoteRef/>
      </w:r>
      <w:r w:rsidRPr="007C4C55">
        <w:rPr>
          <w:lang w:val="fr-FR"/>
        </w:rPr>
        <w:t xml:space="preserve"> </w:t>
      </w:r>
      <w:r w:rsidRPr="007C4C55">
        <w:rPr>
          <w:i/>
          <w:iCs/>
          <w:lang w:val="fr-FR"/>
        </w:rPr>
        <w:t>Journal Officiel L 212, 17/08/1994, pp. 0003-0014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5245" w14:textId="25D0BB30" w:rsidR="00586575" w:rsidRPr="00C57717" w:rsidRDefault="00586575" w:rsidP="006821FB">
    <w:pPr>
      <w:pStyle w:val="Header"/>
      <w:jc w:val="center"/>
      <w:rPr>
        <w:rFonts w:cs="Arial"/>
        <w:b/>
        <w:sz w:val="20"/>
        <w:szCs w:val="20"/>
      </w:rPr>
    </w:pPr>
    <w:r w:rsidRPr="00C57717">
      <w:rPr>
        <w:rFonts w:cs="Arial"/>
        <w:b/>
        <w:sz w:val="20"/>
        <w:szCs w:val="20"/>
      </w:rPr>
      <w:ptab w:relativeTo="margin" w:alignment="center" w:leader="none"/>
    </w:r>
    <w:r w:rsidRPr="00C57717">
      <w:rPr>
        <w:rFonts w:cs="Arial"/>
        <w:b/>
        <w:sz w:val="20"/>
        <w:szCs w:val="20"/>
      </w:rPr>
      <w:ptab w:relativeTo="margin" w:alignment="right" w:leader="none"/>
    </w:r>
    <w:r w:rsidRPr="00C57717">
      <w:rPr>
        <w:rFonts w:cs="Arial"/>
        <w:b/>
        <w:bCs/>
        <w:sz w:val="20"/>
        <w:szCs w:val="20"/>
      </w:rPr>
      <w:t>2017-12-D-2-</w:t>
    </w:r>
    <w:r w:rsidRPr="00C57717">
      <w:rPr>
        <w:rFonts w:cs="Arial"/>
        <w:b/>
        <w:bCs/>
        <w:sz w:val="20"/>
        <w:szCs w:val="20"/>
        <w:lang w:val="en-US"/>
      </w:rPr>
      <w:t>fr</w:t>
    </w:r>
    <w:r w:rsidRPr="00C57717">
      <w:rPr>
        <w:rFonts w:cs="Arial"/>
        <w:b/>
        <w:bCs/>
        <w:sz w:val="20"/>
        <w:szCs w:val="20"/>
      </w:rPr>
      <w:t xml:space="preserve">-1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525"/>
    <w:multiLevelType w:val="hybridMultilevel"/>
    <w:tmpl w:val="6D9683B4"/>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373F6C"/>
    <w:multiLevelType w:val="hybridMultilevel"/>
    <w:tmpl w:val="1390EF8A"/>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2" w15:restartNumberingAfterBreak="0">
    <w:nsid w:val="02872E45"/>
    <w:multiLevelType w:val="hybridMultilevel"/>
    <w:tmpl w:val="6D329BB4"/>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655259F0">
      <w:start w:val="1"/>
      <w:numFmt w:val="bullet"/>
      <w:lvlText w:val=""/>
      <w:lvlJc w:val="left"/>
      <w:pPr>
        <w:ind w:left="2917" w:hanging="360"/>
      </w:pPr>
      <w:rPr>
        <w:rFonts w:ascii="Symbol" w:hAnsi="Symbol"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3" w15:restartNumberingAfterBreak="0">
    <w:nsid w:val="02B054D9"/>
    <w:multiLevelType w:val="hybridMultilevel"/>
    <w:tmpl w:val="91BC6DD6"/>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3A56E16"/>
    <w:multiLevelType w:val="hybridMultilevel"/>
    <w:tmpl w:val="206AEC92"/>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3F15E76"/>
    <w:multiLevelType w:val="hybridMultilevel"/>
    <w:tmpl w:val="4F26CE80"/>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6" w15:restartNumberingAfterBreak="0">
    <w:nsid w:val="054713E1"/>
    <w:multiLevelType w:val="hybridMultilevel"/>
    <w:tmpl w:val="867EFE30"/>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 w15:restartNumberingAfterBreak="0">
    <w:nsid w:val="05DA3BEF"/>
    <w:multiLevelType w:val="hybridMultilevel"/>
    <w:tmpl w:val="E572C89A"/>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5E303D8"/>
    <w:multiLevelType w:val="hybridMultilevel"/>
    <w:tmpl w:val="478C53EE"/>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6615DB1"/>
    <w:multiLevelType w:val="hybridMultilevel"/>
    <w:tmpl w:val="36AA5F6A"/>
    <w:lvl w:ilvl="0" w:tplc="E9DC3644">
      <w:start w:val="1"/>
      <w:numFmt w:val="decimal"/>
      <w:lvlText w:val="%1."/>
      <w:lvlJc w:val="left"/>
      <w:pPr>
        <w:ind w:left="183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6DC4ECC"/>
    <w:multiLevelType w:val="hybridMultilevel"/>
    <w:tmpl w:val="36A4B2BC"/>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1" w15:restartNumberingAfterBreak="0">
    <w:nsid w:val="076F6821"/>
    <w:multiLevelType w:val="hybridMultilevel"/>
    <w:tmpl w:val="2514C3C8"/>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2" w15:restartNumberingAfterBreak="0">
    <w:nsid w:val="0AF21A0E"/>
    <w:multiLevelType w:val="hybridMultilevel"/>
    <w:tmpl w:val="82904400"/>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 w15:restartNumberingAfterBreak="0">
    <w:nsid w:val="0B6841A1"/>
    <w:multiLevelType w:val="hybridMultilevel"/>
    <w:tmpl w:val="7E806DEA"/>
    <w:lvl w:ilvl="0" w:tplc="276E09C6">
      <w:start w:val="1"/>
      <w:numFmt w:val="decimal"/>
      <w:lvlText w:val="%1."/>
      <w:lvlJc w:val="left"/>
      <w:pPr>
        <w:ind w:left="1117" w:hanging="360"/>
      </w:pPr>
      <w:rPr>
        <w:rFonts w:ascii="Arial" w:hAnsi="Arial" w:hint="default"/>
        <w:strike w:val="0"/>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4" w15:restartNumberingAfterBreak="0">
    <w:nsid w:val="0C4C640D"/>
    <w:multiLevelType w:val="singleLevel"/>
    <w:tmpl w:val="2E44421C"/>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0CF55183"/>
    <w:multiLevelType w:val="hybridMultilevel"/>
    <w:tmpl w:val="C34CB290"/>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135517"/>
    <w:multiLevelType w:val="hybridMultilevel"/>
    <w:tmpl w:val="3BB051E2"/>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0E9525D4"/>
    <w:multiLevelType w:val="hybridMultilevel"/>
    <w:tmpl w:val="BCAA70A0"/>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8" w15:restartNumberingAfterBreak="0">
    <w:nsid w:val="10496881"/>
    <w:multiLevelType w:val="hybridMultilevel"/>
    <w:tmpl w:val="599E6064"/>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9" w15:restartNumberingAfterBreak="0">
    <w:nsid w:val="11341930"/>
    <w:multiLevelType w:val="hybridMultilevel"/>
    <w:tmpl w:val="0E5429A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20" w15:restartNumberingAfterBreak="0">
    <w:nsid w:val="11A108E5"/>
    <w:multiLevelType w:val="hybridMultilevel"/>
    <w:tmpl w:val="7242BA44"/>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21" w15:restartNumberingAfterBreak="0">
    <w:nsid w:val="11CD0B99"/>
    <w:multiLevelType w:val="hybridMultilevel"/>
    <w:tmpl w:val="3D2884A8"/>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2334F73"/>
    <w:multiLevelType w:val="hybridMultilevel"/>
    <w:tmpl w:val="6DFA9EEA"/>
    <w:lvl w:ilvl="0" w:tplc="23C6D3A6">
      <w:start w:val="3"/>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29E7E52"/>
    <w:multiLevelType w:val="hybridMultilevel"/>
    <w:tmpl w:val="E6ECA3A4"/>
    <w:lvl w:ilvl="0" w:tplc="655259F0">
      <w:start w:val="1"/>
      <w:numFmt w:val="bullet"/>
      <w:lvlText w:val=""/>
      <w:lvlJc w:val="left"/>
      <w:pPr>
        <w:ind w:left="1117" w:hanging="360"/>
      </w:pPr>
      <w:rPr>
        <w:rFonts w:ascii="Symbol" w:hAnsi="Symbol"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24" w15:restartNumberingAfterBreak="0">
    <w:nsid w:val="13794AAC"/>
    <w:multiLevelType w:val="hybridMultilevel"/>
    <w:tmpl w:val="7D9EA7D2"/>
    <w:lvl w:ilvl="0" w:tplc="2000000F">
      <w:start w:val="1"/>
      <w:numFmt w:val="decimal"/>
      <w:lvlText w:val="%1."/>
      <w:lvlJc w:val="left"/>
      <w:pPr>
        <w:ind w:left="1117" w:hanging="360"/>
      </w:pPr>
    </w:lvl>
    <w:lvl w:ilvl="1" w:tplc="8F44BF0C">
      <w:start w:val="1"/>
      <w:numFmt w:val="bullet"/>
      <w:lvlText w:val="–"/>
      <w:lvlJc w:val="left"/>
      <w:pPr>
        <w:ind w:left="1837" w:hanging="360"/>
      </w:pPr>
      <w:rPr>
        <w:rFonts w:ascii="Times New Roman" w:eastAsia="Calibri" w:hAnsi="Times New Roman" w:cs="Times New Roman" w:hint="default"/>
      </w:r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25" w15:restartNumberingAfterBreak="0">
    <w:nsid w:val="1427563D"/>
    <w:multiLevelType w:val="hybridMultilevel"/>
    <w:tmpl w:val="6B4A7E12"/>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14DB3ECB"/>
    <w:multiLevelType w:val="hybridMultilevel"/>
    <w:tmpl w:val="7CA412BA"/>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20000005" w:tentative="1">
      <w:start w:val="1"/>
      <w:numFmt w:val="bullet"/>
      <w:lvlText w:val=""/>
      <w:lvlJc w:val="left"/>
      <w:pPr>
        <w:ind w:left="2917" w:hanging="360"/>
      </w:pPr>
      <w:rPr>
        <w:rFonts w:ascii="Wingdings" w:hAnsi="Wingdings"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27" w15:restartNumberingAfterBreak="0">
    <w:nsid w:val="15F87FD1"/>
    <w:multiLevelType w:val="hybridMultilevel"/>
    <w:tmpl w:val="B81802D0"/>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655259F0">
      <w:start w:val="1"/>
      <w:numFmt w:val="bullet"/>
      <w:lvlText w:val=""/>
      <w:lvlJc w:val="left"/>
      <w:pPr>
        <w:ind w:left="2917" w:hanging="360"/>
      </w:pPr>
      <w:rPr>
        <w:rFonts w:ascii="Symbol" w:hAnsi="Symbol"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28" w15:restartNumberingAfterBreak="0">
    <w:nsid w:val="16BE24C4"/>
    <w:multiLevelType w:val="hybridMultilevel"/>
    <w:tmpl w:val="AE34A976"/>
    <w:lvl w:ilvl="0" w:tplc="7C6A6D84">
      <w:start w:val="1"/>
      <w:numFmt w:val="decimal"/>
      <w:lvlText w:val="%1."/>
      <w:lvlJc w:val="left"/>
      <w:pPr>
        <w:ind w:left="1117" w:hanging="360"/>
      </w:pPr>
      <w:rPr>
        <w:rFonts w:ascii="Arial" w:hAnsi="Arial" w:hint="default"/>
        <w:strike w:val="0"/>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29" w15:restartNumberingAfterBreak="0">
    <w:nsid w:val="178F0BBF"/>
    <w:multiLevelType w:val="hybridMultilevel"/>
    <w:tmpl w:val="62DCF41E"/>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30" w15:restartNumberingAfterBreak="0">
    <w:nsid w:val="18426251"/>
    <w:multiLevelType w:val="hybridMultilevel"/>
    <w:tmpl w:val="1B7A72BC"/>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18AF2D79"/>
    <w:multiLevelType w:val="hybridMultilevel"/>
    <w:tmpl w:val="5ECAFD9E"/>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19477406"/>
    <w:multiLevelType w:val="hybridMultilevel"/>
    <w:tmpl w:val="8E26EB7E"/>
    <w:lvl w:ilvl="0" w:tplc="231A0DB2">
      <w:start w:val="1"/>
      <w:numFmt w:val="decimal"/>
      <w:lvlText w:val="%1."/>
      <w:lvlJc w:val="left"/>
      <w:pPr>
        <w:ind w:left="1117" w:hanging="360"/>
      </w:pPr>
      <w:rPr>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33" w15:restartNumberingAfterBreak="0">
    <w:nsid w:val="196E48FD"/>
    <w:multiLevelType w:val="hybridMultilevel"/>
    <w:tmpl w:val="AF1EC5A8"/>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655259F0">
      <w:start w:val="1"/>
      <w:numFmt w:val="bullet"/>
      <w:lvlText w:val=""/>
      <w:lvlJc w:val="left"/>
      <w:pPr>
        <w:ind w:left="2917" w:hanging="360"/>
      </w:pPr>
      <w:rPr>
        <w:rFonts w:ascii="Symbol" w:hAnsi="Symbol"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34" w15:restartNumberingAfterBreak="0">
    <w:nsid w:val="1AD215E8"/>
    <w:multiLevelType w:val="hybridMultilevel"/>
    <w:tmpl w:val="277C4608"/>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35" w15:restartNumberingAfterBreak="0">
    <w:nsid w:val="1B30498B"/>
    <w:multiLevelType w:val="hybridMultilevel"/>
    <w:tmpl w:val="25EAF266"/>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1D3E7BC5"/>
    <w:multiLevelType w:val="hybridMultilevel"/>
    <w:tmpl w:val="EBCEEA1E"/>
    <w:lvl w:ilvl="0" w:tplc="A37AF0A6">
      <w:start w:val="1"/>
      <w:numFmt w:val="decimal"/>
      <w:lvlText w:val="%1."/>
      <w:lvlJc w:val="left"/>
      <w:pPr>
        <w:ind w:left="1117" w:hanging="360"/>
      </w:pPr>
      <w:rPr>
        <w:rFonts w:ascii="Arial" w:hAnsi="Arial" w:hint="default"/>
        <w:sz w:val="22"/>
      </w:rPr>
    </w:lvl>
    <w:lvl w:ilvl="1" w:tplc="A37AF0A6">
      <w:start w:val="1"/>
      <w:numFmt w:val="decimal"/>
      <w:lvlText w:val="%2."/>
      <w:lvlJc w:val="left"/>
      <w:pPr>
        <w:ind w:left="1837" w:hanging="360"/>
      </w:pPr>
      <w:rPr>
        <w:rFonts w:ascii="Arial" w:hAnsi="Arial" w:hint="default"/>
        <w:sz w:val="22"/>
      </w:r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37" w15:restartNumberingAfterBreak="0">
    <w:nsid w:val="1E280E3B"/>
    <w:multiLevelType w:val="hybridMultilevel"/>
    <w:tmpl w:val="549689B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1E4879F7"/>
    <w:multiLevelType w:val="hybridMultilevel"/>
    <w:tmpl w:val="50AC468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39" w15:restartNumberingAfterBreak="0">
    <w:nsid w:val="1E490B70"/>
    <w:multiLevelType w:val="hybridMultilevel"/>
    <w:tmpl w:val="07FE071E"/>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20A80515"/>
    <w:multiLevelType w:val="hybridMultilevel"/>
    <w:tmpl w:val="581A68A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41" w15:restartNumberingAfterBreak="0">
    <w:nsid w:val="21394CC9"/>
    <w:multiLevelType w:val="hybridMultilevel"/>
    <w:tmpl w:val="0B6A2020"/>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223B678B"/>
    <w:multiLevelType w:val="hybridMultilevel"/>
    <w:tmpl w:val="3C9EE6B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43" w15:restartNumberingAfterBreak="0">
    <w:nsid w:val="22863239"/>
    <w:multiLevelType w:val="hybridMultilevel"/>
    <w:tmpl w:val="072A1516"/>
    <w:lvl w:ilvl="0" w:tplc="04090017">
      <w:start w:val="1"/>
      <w:numFmt w:val="lowerLetter"/>
      <w:lvlText w:val="%1)"/>
      <w:lvlJc w:val="left"/>
      <w:pPr>
        <w:ind w:left="1117" w:hanging="360"/>
      </w:pPr>
      <w:rPr>
        <w:rFonts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44" w15:restartNumberingAfterBreak="0">
    <w:nsid w:val="22973BBD"/>
    <w:multiLevelType w:val="hybridMultilevel"/>
    <w:tmpl w:val="9BD482F2"/>
    <w:lvl w:ilvl="0" w:tplc="2000000F">
      <w:start w:val="1"/>
      <w:numFmt w:val="decimal"/>
      <w:lvlText w:val="%1."/>
      <w:lvlJc w:val="left"/>
      <w:pPr>
        <w:ind w:left="1514" w:hanging="360"/>
      </w:pPr>
      <w:rPr>
        <w:rFonts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45" w15:restartNumberingAfterBreak="0">
    <w:nsid w:val="24173E99"/>
    <w:multiLevelType w:val="hybridMultilevel"/>
    <w:tmpl w:val="67D8483A"/>
    <w:lvl w:ilvl="0" w:tplc="655259F0">
      <w:start w:val="1"/>
      <w:numFmt w:val="bullet"/>
      <w:lvlText w:val=""/>
      <w:lvlJc w:val="left"/>
      <w:pPr>
        <w:ind w:left="1117" w:hanging="360"/>
      </w:pPr>
      <w:rPr>
        <w:rFonts w:ascii="Symbol" w:hAnsi="Symbol" w:hint="default"/>
        <w:sz w:val="22"/>
      </w:rPr>
    </w:lvl>
    <w:lvl w:ilvl="1" w:tplc="E9DC3644">
      <w:start w:val="1"/>
      <w:numFmt w:val="decimal"/>
      <w:lvlText w:val="%2."/>
      <w:lvlJc w:val="left"/>
      <w:pPr>
        <w:ind w:left="1837" w:hanging="360"/>
      </w:pPr>
      <w:rPr>
        <w:rFonts w:hint="default"/>
      </w:r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46" w15:restartNumberingAfterBreak="0">
    <w:nsid w:val="2442248A"/>
    <w:multiLevelType w:val="hybridMultilevel"/>
    <w:tmpl w:val="E250C628"/>
    <w:lvl w:ilvl="0" w:tplc="2000000F">
      <w:start w:val="1"/>
      <w:numFmt w:val="decimal"/>
      <w:lvlText w:val="%1."/>
      <w:lvlJc w:val="left"/>
      <w:pPr>
        <w:ind w:left="75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24ED49E9"/>
    <w:multiLevelType w:val="hybridMultilevel"/>
    <w:tmpl w:val="72244A5A"/>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48" w15:restartNumberingAfterBreak="0">
    <w:nsid w:val="256B269E"/>
    <w:multiLevelType w:val="hybridMultilevel"/>
    <w:tmpl w:val="547C9910"/>
    <w:lvl w:ilvl="0" w:tplc="52AE6F26">
      <w:start w:val="1"/>
      <w:numFmt w:val="decimal"/>
      <w:lvlText w:val="%1."/>
      <w:lvlJc w:val="left"/>
      <w:pPr>
        <w:ind w:left="1154" w:hanging="360"/>
      </w:pPr>
      <w:rPr>
        <w:rFonts w:hint="default"/>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49" w15:restartNumberingAfterBreak="0">
    <w:nsid w:val="2617044F"/>
    <w:multiLevelType w:val="hybridMultilevel"/>
    <w:tmpl w:val="E662BF5A"/>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0" w15:restartNumberingAfterBreak="0">
    <w:nsid w:val="272734BE"/>
    <w:multiLevelType w:val="hybridMultilevel"/>
    <w:tmpl w:val="13FC214C"/>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1" w15:restartNumberingAfterBreak="0">
    <w:nsid w:val="2A67733C"/>
    <w:multiLevelType w:val="hybridMultilevel"/>
    <w:tmpl w:val="16F4FE1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2" w15:restartNumberingAfterBreak="0">
    <w:nsid w:val="2A9D7F9D"/>
    <w:multiLevelType w:val="hybridMultilevel"/>
    <w:tmpl w:val="5FFE30D8"/>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3" w15:restartNumberingAfterBreak="0">
    <w:nsid w:val="2B494371"/>
    <w:multiLevelType w:val="hybridMultilevel"/>
    <w:tmpl w:val="366636FE"/>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4" w15:restartNumberingAfterBreak="0">
    <w:nsid w:val="2BC023C5"/>
    <w:multiLevelType w:val="hybridMultilevel"/>
    <w:tmpl w:val="035E9D3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5" w15:restartNumberingAfterBreak="0">
    <w:nsid w:val="2CC12811"/>
    <w:multiLevelType w:val="hybridMultilevel"/>
    <w:tmpl w:val="ABF8E056"/>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6" w15:restartNumberingAfterBreak="0">
    <w:nsid w:val="2D246D0A"/>
    <w:multiLevelType w:val="hybridMultilevel"/>
    <w:tmpl w:val="EF147E42"/>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2FE947E8"/>
    <w:multiLevelType w:val="hybridMultilevel"/>
    <w:tmpl w:val="793A3B1A"/>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8" w15:restartNumberingAfterBreak="0">
    <w:nsid w:val="302130ED"/>
    <w:multiLevelType w:val="hybridMultilevel"/>
    <w:tmpl w:val="56AA237C"/>
    <w:lvl w:ilvl="0" w:tplc="2000000F">
      <w:start w:val="1"/>
      <w:numFmt w:val="decimal"/>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9" w15:restartNumberingAfterBreak="0">
    <w:nsid w:val="305A3075"/>
    <w:multiLevelType w:val="hybridMultilevel"/>
    <w:tmpl w:val="6958EEC4"/>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655259F0">
      <w:start w:val="1"/>
      <w:numFmt w:val="bullet"/>
      <w:lvlText w:val=""/>
      <w:lvlJc w:val="left"/>
      <w:pPr>
        <w:ind w:left="2917" w:hanging="360"/>
      </w:pPr>
      <w:rPr>
        <w:rFonts w:ascii="Symbol" w:hAnsi="Symbol"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60" w15:restartNumberingAfterBreak="0">
    <w:nsid w:val="33073EE4"/>
    <w:multiLevelType w:val="hybridMultilevel"/>
    <w:tmpl w:val="C16250EA"/>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34753172"/>
    <w:multiLevelType w:val="hybridMultilevel"/>
    <w:tmpl w:val="42260D04"/>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35D61C80"/>
    <w:multiLevelType w:val="hybridMultilevel"/>
    <w:tmpl w:val="3FC4B07A"/>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655259F0">
      <w:start w:val="1"/>
      <w:numFmt w:val="bullet"/>
      <w:lvlText w:val=""/>
      <w:lvlJc w:val="left"/>
      <w:pPr>
        <w:ind w:left="2917" w:hanging="360"/>
      </w:pPr>
      <w:rPr>
        <w:rFonts w:ascii="Symbol" w:hAnsi="Symbol"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63" w15:restartNumberingAfterBreak="0">
    <w:nsid w:val="35FB0C30"/>
    <w:multiLevelType w:val="hybridMultilevel"/>
    <w:tmpl w:val="F5C65740"/>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64" w15:restartNumberingAfterBreak="0">
    <w:nsid w:val="36AC1461"/>
    <w:multiLevelType w:val="hybridMultilevel"/>
    <w:tmpl w:val="E3DC2CA8"/>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37613784"/>
    <w:multiLevelType w:val="hybridMultilevel"/>
    <w:tmpl w:val="F756368E"/>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20000005" w:tentative="1">
      <w:start w:val="1"/>
      <w:numFmt w:val="bullet"/>
      <w:lvlText w:val=""/>
      <w:lvlJc w:val="left"/>
      <w:pPr>
        <w:ind w:left="2917" w:hanging="360"/>
      </w:pPr>
      <w:rPr>
        <w:rFonts w:ascii="Wingdings" w:hAnsi="Wingdings"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66" w15:restartNumberingAfterBreak="0">
    <w:nsid w:val="37796916"/>
    <w:multiLevelType w:val="hybridMultilevel"/>
    <w:tmpl w:val="AC6A14BA"/>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67" w15:restartNumberingAfterBreak="0">
    <w:nsid w:val="387D4011"/>
    <w:multiLevelType w:val="hybridMultilevel"/>
    <w:tmpl w:val="1884FBDC"/>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68" w15:restartNumberingAfterBreak="0">
    <w:nsid w:val="39C20CC4"/>
    <w:multiLevelType w:val="hybridMultilevel"/>
    <w:tmpl w:val="D7EE7448"/>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3A91017F"/>
    <w:multiLevelType w:val="hybridMultilevel"/>
    <w:tmpl w:val="3B64D2D6"/>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20000005" w:tentative="1">
      <w:start w:val="1"/>
      <w:numFmt w:val="bullet"/>
      <w:lvlText w:val=""/>
      <w:lvlJc w:val="left"/>
      <w:pPr>
        <w:ind w:left="2917" w:hanging="360"/>
      </w:pPr>
      <w:rPr>
        <w:rFonts w:ascii="Wingdings" w:hAnsi="Wingdings"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70"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3CFF500D"/>
    <w:multiLevelType w:val="hybridMultilevel"/>
    <w:tmpl w:val="5082FBD4"/>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2" w15:restartNumberingAfterBreak="0">
    <w:nsid w:val="3DD60AE4"/>
    <w:multiLevelType w:val="hybridMultilevel"/>
    <w:tmpl w:val="D8F0F7E6"/>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3" w15:restartNumberingAfterBreak="0">
    <w:nsid w:val="3E8C3C1A"/>
    <w:multiLevelType w:val="hybridMultilevel"/>
    <w:tmpl w:val="017C5502"/>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4028080A"/>
    <w:multiLevelType w:val="hybridMultilevel"/>
    <w:tmpl w:val="166CA3EA"/>
    <w:lvl w:ilvl="0" w:tplc="FCD87994">
      <w:start w:val="4"/>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404D0393"/>
    <w:multiLevelType w:val="hybridMultilevel"/>
    <w:tmpl w:val="9ABE0756"/>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6" w15:restartNumberingAfterBreak="0">
    <w:nsid w:val="41C0360E"/>
    <w:multiLevelType w:val="hybridMultilevel"/>
    <w:tmpl w:val="FEACD40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7" w15:restartNumberingAfterBreak="0">
    <w:nsid w:val="424E6AF4"/>
    <w:multiLevelType w:val="hybridMultilevel"/>
    <w:tmpl w:val="F7565378"/>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8" w15:restartNumberingAfterBreak="0">
    <w:nsid w:val="42545FE2"/>
    <w:multiLevelType w:val="hybridMultilevel"/>
    <w:tmpl w:val="2A347C3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9" w15:restartNumberingAfterBreak="0">
    <w:nsid w:val="4530785F"/>
    <w:multiLevelType w:val="hybridMultilevel"/>
    <w:tmpl w:val="33DA9AB4"/>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80" w15:restartNumberingAfterBreak="0">
    <w:nsid w:val="474B562C"/>
    <w:multiLevelType w:val="hybridMultilevel"/>
    <w:tmpl w:val="436853C0"/>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81" w15:restartNumberingAfterBreak="0">
    <w:nsid w:val="48E54397"/>
    <w:multiLevelType w:val="hybridMultilevel"/>
    <w:tmpl w:val="44B43A40"/>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82" w15:restartNumberingAfterBreak="0">
    <w:nsid w:val="49143B54"/>
    <w:multiLevelType w:val="hybridMultilevel"/>
    <w:tmpl w:val="80A6CBD8"/>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49E357E3"/>
    <w:multiLevelType w:val="hybridMultilevel"/>
    <w:tmpl w:val="EBD4CD42"/>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84" w15:restartNumberingAfterBreak="0">
    <w:nsid w:val="4A6E31AD"/>
    <w:multiLevelType w:val="hybridMultilevel"/>
    <w:tmpl w:val="11183570"/>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20000005" w:tentative="1">
      <w:start w:val="1"/>
      <w:numFmt w:val="bullet"/>
      <w:lvlText w:val=""/>
      <w:lvlJc w:val="left"/>
      <w:pPr>
        <w:ind w:left="2917" w:hanging="360"/>
      </w:pPr>
      <w:rPr>
        <w:rFonts w:ascii="Wingdings" w:hAnsi="Wingdings"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85" w15:restartNumberingAfterBreak="0">
    <w:nsid w:val="4D417BF5"/>
    <w:multiLevelType w:val="hybridMultilevel"/>
    <w:tmpl w:val="80269BC8"/>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508554A3"/>
    <w:multiLevelType w:val="hybridMultilevel"/>
    <w:tmpl w:val="53FC46E4"/>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51AE55B6"/>
    <w:multiLevelType w:val="hybridMultilevel"/>
    <w:tmpl w:val="E77864CC"/>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51DF29AD"/>
    <w:multiLevelType w:val="hybridMultilevel"/>
    <w:tmpl w:val="FFAC2F10"/>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522511BF"/>
    <w:multiLevelType w:val="hybridMultilevel"/>
    <w:tmpl w:val="D4DED9CA"/>
    <w:lvl w:ilvl="0" w:tplc="32B6C726">
      <w:start w:val="3"/>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0" w15:restartNumberingAfterBreak="0">
    <w:nsid w:val="52BC3ECF"/>
    <w:multiLevelType w:val="hybridMultilevel"/>
    <w:tmpl w:val="74BCB272"/>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655259F0">
      <w:start w:val="1"/>
      <w:numFmt w:val="bullet"/>
      <w:lvlText w:val=""/>
      <w:lvlJc w:val="left"/>
      <w:pPr>
        <w:ind w:left="2917" w:hanging="360"/>
      </w:pPr>
      <w:rPr>
        <w:rFonts w:ascii="Symbol" w:hAnsi="Symbol"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91" w15:restartNumberingAfterBreak="0">
    <w:nsid w:val="531B0660"/>
    <w:multiLevelType w:val="hybridMultilevel"/>
    <w:tmpl w:val="349228D0"/>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92" w15:restartNumberingAfterBreak="0">
    <w:nsid w:val="541B5B96"/>
    <w:multiLevelType w:val="hybridMultilevel"/>
    <w:tmpl w:val="06B4A8D6"/>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93" w15:restartNumberingAfterBreak="0">
    <w:nsid w:val="545F07A8"/>
    <w:multiLevelType w:val="hybridMultilevel"/>
    <w:tmpl w:val="C55E46CA"/>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94" w15:restartNumberingAfterBreak="0">
    <w:nsid w:val="546B60F9"/>
    <w:multiLevelType w:val="hybridMultilevel"/>
    <w:tmpl w:val="5B704058"/>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95" w15:restartNumberingAfterBreak="0">
    <w:nsid w:val="5564266E"/>
    <w:multiLevelType w:val="hybridMultilevel"/>
    <w:tmpl w:val="114263F8"/>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55F4291E"/>
    <w:multiLevelType w:val="hybridMultilevel"/>
    <w:tmpl w:val="5CAE085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97" w15:restartNumberingAfterBreak="0">
    <w:nsid w:val="569E26ED"/>
    <w:multiLevelType w:val="hybridMultilevel"/>
    <w:tmpl w:val="35F8DAC4"/>
    <w:lvl w:ilvl="0" w:tplc="04090017">
      <w:start w:val="1"/>
      <w:numFmt w:val="lowerLetter"/>
      <w:lvlText w:val="%1)"/>
      <w:lvlJc w:val="left"/>
      <w:pPr>
        <w:ind w:left="1117" w:hanging="360"/>
      </w:pPr>
      <w:rPr>
        <w:rFonts w:hint="default"/>
        <w:strike w:val="0"/>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98" w15:restartNumberingAfterBreak="0">
    <w:nsid w:val="56DC085F"/>
    <w:multiLevelType w:val="hybridMultilevel"/>
    <w:tmpl w:val="C600938E"/>
    <w:lvl w:ilvl="0" w:tplc="655259F0">
      <w:start w:val="1"/>
      <w:numFmt w:val="bullet"/>
      <w:lvlText w:val=""/>
      <w:lvlJc w:val="left"/>
      <w:pPr>
        <w:ind w:left="778" w:hanging="360"/>
      </w:pPr>
      <w:rPr>
        <w:rFonts w:ascii="Symbol" w:hAnsi="Symbol" w:hint="default"/>
      </w:rPr>
    </w:lvl>
    <w:lvl w:ilvl="1" w:tplc="20000003" w:tentative="1">
      <w:start w:val="1"/>
      <w:numFmt w:val="bullet"/>
      <w:lvlText w:val="o"/>
      <w:lvlJc w:val="left"/>
      <w:pPr>
        <w:ind w:left="1498" w:hanging="360"/>
      </w:pPr>
      <w:rPr>
        <w:rFonts w:ascii="Courier New" w:hAnsi="Courier New" w:cs="Courier New" w:hint="default"/>
      </w:rPr>
    </w:lvl>
    <w:lvl w:ilvl="2" w:tplc="655259F0">
      <w:start w:val="1"/>
      <w:numFmt w:val="bullet"/>
      <w:lvlText w:val=""/>
      <w:lvlJc w:val="left"/>
      <w:pPr>
        <w:ind w:left="2218" w:hanging="360"/>
      </w:pPr>
      <w:rPr>
        <w:rFonts w:ascii="Symbol" w:hAnsi="Symbol"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99" w15:restartNumberingAfterBreak="0">
    <w:nsid w:val="58E809C2"/>
    <w:multiLevelType w:val="hybridMultilevel"/>
    <w:tmpl w:val="1C8A22BC"/>
    <w:lvl w:ilvl="0" w:tplc="655259F0">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655259F0">
      <w:start w:val="1"/>
      <w:numFmt w:val="bullet"/>
      <w:lvlText w:val=""/>
      <w:lvlJc w:val="left"/>
      <w:pPr>
        <w:ind w:left="2917" w:hanging="360"/>
      </w:pPr>
      <w:rPr>
        <w:rFonts w:ascii="Symbol" w:hAnsi="Symbol"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abstractNum w:abstractNumId="100" w15:restartNumberingAfterBreak="0">
    <w:nsid w:val="595F6D94"/>
    <w:multiLevelType w:val="singleLevel"/>
    <w:tmpl w:val="D940093C"/>
    <w:lvl w:ilvl="0">
      <w:start w:val="1"/>
      <w:numFmt w:val="bullet"/>
      <w:lvlRestart w:val="0"/>
      <w:pStyle w:val="Tiret1"/>
      <w:lvlText w:val="–"/>
      <w:lvlJc w:val="left"/>
      <w:pPr>
        <w:tabs>
          <w:tab w:val="num" w:pos="1417"/>
        </w:tabs>
        <w:ind w:left="1417" w:hanging="567"/>
      </w:pPr>
    </w:lvl>
  </w:abstractNum>
  <w:abstractNum w:abstractNumId="101" w15:restartNumberingAfterBreak="0">
    <w:nsid w:val="59850B1B"/>
    <w:multiLevelType w:val="hybridMultilevel"/>
    <w:tmpl w:val="7E9824AC"/>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59B40A4F"/>
    <w:multiLevelType w:val="hybridMultilevel"/>
    <w:tmpl w:val="EB5A717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03" w15:restartNumberingAfterBreak="0">
    <w:nsid w:val="5A635793"/>
    <w:multiLevelType w:val="hybridMultilevel"/>
    <w:tmpl w:val="F6DA954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04" w15:restartNumberingAfterBreak="0">
    <w:nsid w:val="5B5E67DC"/>
    <w:multiLevelType w:val="hybridMultilevel"/>
    <w:tmpl w:val="A010F3B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05" w15:restartNumberingAfterBreak="0">
    <w:nsid w:val="5B6745CF"/>
    <w:multiLevelType w:val="hybridMultilevel"/>
    <w:tmpl w:val="902C6F9A"/>
    <w:lvl w:ilvl="0" w:tplc="655259F0">
      <w:start w:val="1"/>
      <w:numFmt w:val="bullet"/>
      <w:lvlText w:val=""/>
      <w:lvlJc w:val="left"/>
      <w:pPr>
        <w:ind w:left="1117" w:hanging="360"/>
      </w:pPr>
      <w:rPr>
        <w:rFonts w:ascii="Symbol" w:hAnsi="Symbol"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106" w15:restartNumberingAfterBreak="0">
    <w:nsid w:val="5B8378D4"/>
    <w:multiLevelType w:val="hybridMultilevel"/>
    <w:tmpl w:val="6B6A1FF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07" w15:restartNumberingAfterBreak="0">
    <w:nsid w:val="5E1B0C6D"/>
    <w:multiLevelType w:val="hybridMultilevel"/>
    <w:tmpl w:val="E3F01286"/>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08" w15:restartNumberingAfterBreak="0">
    <w:nsid w:val="5E3A27D6"/>
    <w:multiLevelType w:val="hybridMultilevel"/>
    <w:tmpl w:val="08D0588C"/>
    <w:lvl w:ilvl="0" w:tplc="231A0DB2">
      <w:start w:val="1"/>
      <w:numFmt w:val="decimal"/>
      <w:lvlText w:val="%1."/>
      <w:lvlJc w:val="left"/>
      <w:pPr>
        <w:ind w:left="1117" w:hanging="360"/>
      </w:pPr>
      <w:rPr>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09" w15:restartNumberingAfterBreak="0">
    <w:nsid w:val="5F7B2EB3"/>
    <w:multiLevelType w:val="hybridMultilevel"/>
    <w:tmpl w:val="97645E10"/>
    <w:lvl w:ilvl="0" w:tplc="E9DC3644">
      <w:start w:val="1"/>
      <w:numFmt w:val="decimal"/>
      <w:lvlText w:val="%1."/>
      <w:lvlJc w:val="left"/>
      <w:pPr>
        <w:ind w:left="183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0" w15:restartNumberingAfterBreak="0">
    <w:nsid w:val="60264A6E"/>
    <w:multiLevelType w:val="hybridMultilevel"/>
    <w:tmpl w:val="4962B858"/>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60544FAE"/>
    <w:multiLevelType w:val="hybridMultilevel"/>
    <w:tmpl w:val="F5F4204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12" w15:restartNumberingAfterBreak="0">
    <w:nsid w:val="62A641CE"/>
    <w:multiLevelType w:val="hybridMultilevel"/>
    <w:tmpl w:val="3D928472"/>
    <w:lvl w:ilvl="0" w:tplc="A746D3A4">
      <w:start w:val="1"/>
      <w:numFmt w:val="decimal"/>
      <w:lvlText w:val="%1."/>
      <w:lvlJc w:val="left"/>
      <w:pPr>
        <w:ind w:left="1117" w:hanging="360"/>
      </w:pPr>
      <w:rPr>
        <w:rFonts w:ascii="Arial" w:hAnsi="Arial" w:hint="default"/>
        <w:strike w:val="0"/>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13" w15:restartNumberingAfterBreak="0">
    <w:nsid w:val="64B53AAC"/>
    <w:multiLevelType w:val="hybridMultilevel"/>
    <w:tmpl w:val="26920272"/>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4" w15:restartNumberingAfterBreak="0">
    <w:nsid w:val="6617559E"/>
    <w:multiLevelType w:val="hybridMultilevel"/>
    <w:tmpl w:val="D2A8ECEE"/>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5" w15:restartNumberingAfterBreak="0">
    <w:nsid w:val="67DF30C3"/>
    <w:multiLevelType w:val="hybridMultilevel"/>
    <w:tmpl w:val="DB9A1FC0"/>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68AD0C5C"/>
    <w:multiLevelType w:val="hybridMultilevel"/>
    <w:tmpl w:val="B0F2D33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17" w15:restartNumberingAfterBreak="0">
    <w:nsid w:val="694547B6"/>
    <w:multiLevelType w:val="hybridMultilevel"/>
    <w:tmpl w:val="84FA1238"/>
    <w:lvl w:ilvl="0" w:tplc="9E6ACCBC">
      <w:start w:val="4"/>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6BCE04A7"/>
    <w:multiLevelType w:val="hybridMultilevel"/>
    <w:tmpl w:val="6492A6B2"/>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19" w15:restartNumberingAfterBreak="0">
    <w:nsid w:val="6DB166EE"/>
    <w:multiLevelType w:val="hybridMultilevel"/>
    <w:tmpl w:val="62DCF41E"/>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20" w15:restartNumberingAfterBreak="0">
    <w:nsid w:val="6E31191E"/>
    <w:multiLevelType w:val="hybridMultilevel"/>
    <w:tmpl w:val="9C0CF6BC"/>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21" w15:restartNumberingAfterBreak="0">
    <w:nsid w:val="6E3E1ABE"/>
    <w:multiLevelType w:val="hybridMultilevel"/>
    <w:tmpl w:val="60400F42"/>
    <w:lvl w:ilvl="0" w:tplc="655259F0">
      <w:start w:val="1"/>
      <w:numFmt w:val="bullet"/>
      <w:lvlText w:val=""/>
      <w:lvlJc w:val="left"/>
      <w:pPr>
        <w:ind w:left="1117" w:hanging="360"/>
      </w:pPr>
      <w:rPr>
        <w:rFonts w:ascii="Symbol" w:hAnsi="Symbol" w:hint="default"/>
        <w:sz w:val="22"/>
      </w:rPr>
    </w:lvl>
    <w:lvl w:ilvl="1" w:tplc="E9DC3644">
      <w:start w:val="1"/>
      <w:numFmt w:val="decimal"/>
      <w:lvlText w:val="%2."/>
      <w:lvlJc w:val="left"/>
      <w:pPr>
        <w:ind w:left="1837" w:hanging="360"/>
      </w:pPr>
      <w:rPr>
        <w:rFonts w:hint="default"/>
      </w:r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22" w15:restartNumberingAfterBreak="0">
    <w:nsid w:val="6E5C21E3"/>
    <w:multiLevelType w:val="singleLevel"/>
    <w:tmpl w:val="91AE4CCA"/>
    <w:lvl w:ilvl="0">
      <w:start w:val="1"/>
      <w:numFmt w:val="bullet"/>
      <w:pStyle w:val="SubTitle2"/>
      <w:lvlText w:val="–"/>
      <w:lvlJc w:val="left"/>
      <w:pPr>
        <w:tabs>
          <w:tab w:val="num" w:pos="2199"/>
        </w:tabs>
        <w:ind w:left="2199" w:hanging="283"/>
      </w:pPr>
      <w:rPr>
        <w:rFonts w:ascii="Times New Roman" w:hAnsi="Times New Roman"/>
      </w:rPr>
    </w:lvl>
  </w:abstractNum>
  <w:abstractNum w:abstractNumId="123" w15:restartNumberingAfterBreak="0">
    <w:nsid w:val="70AD66C1"/>
    <w:multiLevelType w:val="hybridMultilevel"/>
    <w:tmpl w:val="36E0C24E"/>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826E5BBE">
      <w:start w:val="1"/>
      <w:numFmt w:val="decimal"/>
      <w:lvlText w:val="%4)"/>
      <w:lvlJc w:val="left"/>
      <w:pPr>
        <w:ind w:left="3277" w:hanging="360"/>
      </w:pPr>
      <w:rPr>
        <w:rFonts w:hint="default"/>
      </w:r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24" w15:restartNumberingAfterBreak="0">
    <w:nsid w:val="711167E2"/>
    <w:multiLevelType w:val="multilevel"/>
    <w:tmpl w:val="C3843A7A"/>
    <w:name w:val="0,4497296"/>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15E6046"/>
    <w:multiLevelType w:val="hybridMultilevel"/>
    <w:tmpl w:val="69A2F1D6"/>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71AC3136"/>
    <w:multiLevelType w:val="hybridMultilevel"/>
    <w:tmpl w:val="473EA088"/>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27" w15:restartNumberingAfterBreak="0">
    <w:nsid w:val="71CB51A4"/>
    <w:multiLevelType w:val="hybridMultilevel"/>
    <w:tmpl w:val="B01CC67A"/>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28" w15:restartNumberingAfterBreak="0">
    <w:nsid w:val="71EC4700"/>
    <w:multiLevelType w:val="hybridMultilevel"/>
    <w:tmpl w:val="F8B01702"/>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75B027FF"/>
    <w:multiLevelType w:val="hybridMultilevel"/>
    <w:tmpl w:val="478C257E"/>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0" w15:restartNumberingAfterBreak="0">
    <w:nsid w:val="75C26F71"/>
    <w:multiLevelType w:val="multilevel"/>
    <w:tmpl w:val="E01E7708"/>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1" w15:restartNumberingAfterBreak="0">
    <w:nsid w:val="75EE0AA0"/>
    <w:multiLevelType w:val="hybridMultilevel"/>
    <w:tmpl w:val="A8A0AB08"/>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2" w15:restartNumberingAfterBreak="0">
    <w:nsid w:val="77570E0B"/>
    <w:multiLevelType w:val="hybridMultilevel"/>
    <w:tmpl w:val="E9AC1AAE"/>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3" w15:restartNumberingAfterBreak="0">
    <w:nsid w:val="7AF269BF"/>
    <w:multiLevelType w:val="hybridMultilevel"/>
    <w:tmpl w:val="6B54DEAE"/>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4" w15:restartNumberingAfterBreak="0">
    <w:nsid w:val="7B18217F"/>
    <w:multiLevelType w:val="hybridMultilevel"/>
    <w:tmpl w:val="8CDC7256"/>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655259F0">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5" w15:restartNumberingAfterBreak="0">
    <w:nsid w:val="7BCE717D"/>
    <w:multiLevelType w:val="hybridMultilevel"/>
    <w:tmpl w:val="ED068C96"/>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6" w15:restartNumberingAfterBreak="0">
    <w:nsid w:val="7BE3084B"/>
    <w:multiLevelType w:val="hybridMultilevel"/>
    <w:tmpl w:val="B8228366"/>
    <w:lvl w:ilvl="0" w:tplc="A37AF0A6">
      <w:start w:val="1"/>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7" w15:restartNumberingAfterBreak="0">
    <w:nsid w:val="7BE95D7F"/>
    <w:multiLevelType w:val="multilevel"/>
    <w:tmpl w:val="8E5A7B0E"/>
    <w:name w:val="0,15261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strike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8" w15:restartNumberingAfterBreak="0">
    <w:nsid w:val="7C6511FB"/>
    <w:multiLevelType w:val="hybridMultilevel"/>
    <w:tmpl w:val="E7A0A652"/>
    <w:lvl w:ilvl="0" w:tplc="04090017">
      <w:start w:val="1"/>
      <w:numFmt w:val="lowerLetter"/>
      <w:lvlText w:val="%1)"/>
      <w:lvlJc w:val="left"/>
      <w:pPr>
        <w:ind w:left="1117" w:hanging="360"/>
      </w:pPr>
      <w:rPr>
        <w:rFonts w:hint="default"/>
        <w:sz w:val="22"/>
      </w:rPr>
    </w:lvl>
    <w:lvl w:ilvl="1" w:tplc="E9DC3644">
      <w:start w:val="1"/>
      <w:numFmt w:val="decimal"/>
      <w:lvlText w:val="%2."/>
      <w:lvlJc w:val="left"/>
      <w:pPr>
        <w:ind w:left="1837" w:hanging="360"/>
      </w:pPr>
      <w:rPr>
        <w:rFonts w:hint="default"/>
      </w:rPr>
    </w:lvl>
    <w:lvl w:ilvl="2" w:tplc="FFD07D18">
      <w:start w:val="6"/>
      <w:numFmt w:val="bullet"/>
      <w:lvlText w:val="–"/>
      <w:lvlJc w:val="left"/>
      <w:pPr>
        <w:ind w:left="2737" w:hanging="360"/>
      </w:pPr>
      <w:rPr>
        <w:rFonts w:ascii="Arial" w:eastAsia="Times New Roman" w:hAnsi="Arial" w:cs="Arial" w:hint="default"/>
      </w:r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39" w15:restartNumberingAfterBreak="0">
    <w:nsid w:val="7D0506AB"/>
    <w:multiLevelType w:val="hybridMultilevel"/>
    <w:tmpl w:val="1E6EA400"/>
    <w:lvl w:ilvl="0" w:tplc="04090017">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7"/>
  </w:num>
  <w:num w:numId="2">
    <w:abstractNumId w:val="70"/>
  </w:num>
  <w:num w:numId="3">
    <w:abstractNumId w:val="100"/>
  </w:num>
  <w:num w:numId="4">
    <w:abstractNumId w:val="14"/>
  </w:num>
  <w:num w:numId="5">
    <w:abstractNumId w:val="122"/>
  </w:num>
  <w:num w:numId="6">
    <w:abstractNumId w:val="44"/>
  </w:num>
  <w:num w:numId="7">
    <w:abstractNumId w:val="63"/>
  </w:num>
  <w:num w:numId="8">
    <w:abstractNumId w:val="32"/>
  </w:num>
  <w:num w:numId="9">
    <w:abstractNumId w:val="43"/>
  </w:num>
  <w:num w:numId="10">
    <w:abstractNumId w:val="46"/>
  </w:num>
  <w:num w:numId="11">
    <w:abstractNumId w:val="48"/>
  </w:num>
  <w:num w:numId="12">
    <w:abstractNumId w:val="67"/>
  </w:num>
  <w:num w:numId="13">
    <w:abstractNumId w:val="58"/>
  </w:num>
  <w:num w:numId="14">
    <w:abstractNumId w:val="53"/>
  </w:num>
  <w:num w:numId="15">
    <w:abstractNumId w:val="18"/>
  </w:num>
  <w:num w:numId="16">
    <w:abstractNumId w:val="63"/>
  </w:num>
  <w:num w:numId="17">
    <w:abstractNumId w:val="131"/>
  </w:num>
  <w:num w:numId="18">
    <w:abstractNumId w:val="10"/>
  </w:num>
  <w:num w:numId="19">
    <w:abstractNumId w:val="83"/>
  </w:num>
  <w:num w:numId="20">
    <w:abstractNumId w:val="5"/>
  </w:num>
  <w:num w:numId="21">
    <w:abstractNumId w:val="24"/>
  </w:num>
  <w:num w:numId="22">
    <w:abstractNumId w:val="45"/>
  </w:num>
  <w:num w:numId="23">
    <w:abstractNumId w:val="121"/>
  </w:num>
  <w:num w:numId="24">
    <w:abstractNumId w:val="105"/>
  </w:num>
  <w:num w:numId="25">
    <w:abstractNumId w:val="23"/>
  </w:num>
  <w:num w:numId="26">
    <w:abstractNumId w:val="50"/>
  </w:num>
  <w:num w:numId="27">
    <w:abstractNumId w:val="127"/>
  </w:num>
  <w:num w:numId="28">
    <w:abstractNumId w:val="78"/>
  </w:num>
  <w:num w:numId="29">
    <w:abstractNumId w:val="63"/>
    <w:lvlOverride w:ilvl="0">
      <w:startOverride w:val="1"/>
    </w:lvlOverride>
  </w:num>
  <w:num w:numId="30">
    <w:abstractNumId w:val="26"/>
  </w:num>
  <w:num w:numId="31">
    <w:abstractNumId w:val="69"/>
  </w:num>
  <w:num w:numId="32">
    <w:abstractNumId w:val="84"/>
  </w:num>
  <w:num w:numId="33">
    <w:abstractNumId w:val="89"/>
  </w:num>
  <w:num w:numId="34">
    <w:abstractNumId w:val="99"/>
  </w:num>
  <w:num w:numId="35">
    <w:abstractNumId w:val="59"/>
  </w:num>
  <w:num w:numId="36">
    <w:abstractNumId w:val="104"/>
  </w:num>
  <w:num w:numId="37">
    <w:abstractNumId w:val="28"/>
  </w:num>
  <w:num w:numId="38">
    <w:abstractNumId w:val="63"/>
    <w:lvlOverride w:ilvl="0">
      <w:startOverride w:val="1"/>
    </w:lvlOverride>
  </w:num>
  <w:num w:numId="39">
    <w:abstractNumId w:val="74"/>
  </w:num>
  <w:num w:numId="40">
    <w:abstractNumId w:val="33"/>
  </w:num>
  <w:num w:numId="41">
    <w:abstractNumId w:val="92"/>
  </w:num>
  <w:num w:numId="42">
    <w:abstractNumId w:val="65"/>
  </w:num>
  <w:num w:numId="43">
    <w:abstractNumId w:val="52"/>
  </w:num>
  <w:num w:numId="44">
    <w:abstractNumId w:val="94"/>
  </w:num>
  <w:num w:numId="45">
    <w:abstractNumId w:val="63"/>
  </w:num>
  <w:num w:numId="46">
    <w:abstractNumId w:val="6"/>
  </w:num>
  <w:num w:numId="47">
    <w:abstractNumId w:val="138"/>
  </w:num>
  <w:num w:numId="48">
    <w:abstractNumId w:val="19"/>
  </w:num>
  <w:num w:numId="49">
    <w:abstractNumId w:val="36"/>
  </w:num>
  <w:num w:numId="50">
    <w:abstractNumId w:val="20"/>
  </w:num>
  <w:num w:numId="51">
    <w:abstractNumId w:val="63"/>
  </w:num>
  <w:num w:numId="52">
    <w:abstractNumId w:val="106"/>
  </w:num>
  <w:num w:numId="53">
    <w:abstractNumId w:val="81"/>
  </w:num>
  <w:num w:numId="54">
    <w:abstractNumId w:val="75"/>
  </w:num>
  <w:num w:numId="55">
    <w:abstractNumId w:val="63"/>
    <w:lvlOverride w:ilvl="0">
      <w:startOverride w:val="1"/>
    </w:lvlOverride>
  </w:num>
  <w:num w:numId="56">
    <w:abstractNumId w:val="118"/>
  </w:num>
  <w:num w:numId="57">
    <w:abstractNumId w:val="76"/>
  </w:num>
  <w:num w:numId="58">
    <w:abstractNumId w:val="62"/>
  </w:num>
  <w:num w:numId="59">
    <w:abstractNumId w:val="27"/>
  </w:num>
  <w:num w:numId="60">
    <w:abstractNumId w:val="2"/>
  </w:num>
  <w:num w:numId="61">
    <w:abstractNumId w:val="42"/>
  </w:num>
  <w:num w:numId="62">
    <w:abstractNumId w:val="80"/>
  </w:num>
  <w:num w:numId="63">
    <w:abstractNumId w:val="63"/>
  </w:num>
  <w:num w:numId="64">
    <w:abstractNumId w:val="103"/>
  </w:num>
  <w:num w:numId="65">
    <w:abstractNumId w:val="90"/>
  </w:num>
  <w:num w:numId="66">
    <w:abstractNumId w:val="13"/>
  </w:num>
  <w:num w:numId="67">
    <w:abstractNumId w:val="11"/>
  </w:num>
  <w:num w:numId="68">
    <w:abstractNumId w:val="22"/>
  </w:num>
  <w:num w:numId="69">
    <w:abstractNumId w:val="88"/>
  </w:num>
  <w:num w:numId="70">
    <w:abstractNumId w:val="117"/>
  </w:num>
  <w:num w:numId="71">
    <w:abstractNumId w:val="12"/>
  </w:num>
  <w:num w:numId="72">
    <w:abstractNumId w:val="35"/>
  </w:num>
  <w:num w:numId="73">
    <w:abstractNumId w:val="25"/>
  </w:num>
  <w:num w:numId="74">
    <w:abstractNumId w:val="134"/>
  </w:num>
  <w:num w:numId="75">
    <w:abstractNumId w:val="15"/>
  </w:num>
  <w:num w:numId="76">
    <w:abstractNumId w:val="60"/>
  </w:num>
  <w:num w:numId="77">
    <w:abstractNumId w:val="21"/>
  </w:num>
  <w:num w:numId="78">
    <w:abstractNumId w:val="73"/>
  </w:num>
  <w:num w:numId="79">
    <w:abstractNumId w:val="98"/>
  </w:num>
  <w:num w:numId="80">
    <w:abstractNumId w:val="72"/>
  </w:num>
  <w:num w:numId="81">
    <w:abstractNumId w:val="51"/>
  </w:num>
  <w:num w:numId="82">
    <w:abstractNumId w:val="54"/>
  </w:num>
  <w:num w:numId="83">
    <w:abstractNumId w:val="40"/>
  </w:num>
  <w:num w:numId="84">
    <w:abstractNumId w:val="139"/>
  </w:num>
  <w:num w:numId="85">
    <w:abstractNumId w:val="120"/>
  </w:num>
  <w:num w:numId="86">
    <w:abstractNumId w:val="41"/>
  </w:num>
  <w:num w:numId="87">
    <w:abstractNumId w:val="129"/>
  </w:num>
  <w:num w:numId="88">
    <w:abstractNumId w:val="31"/>
  </w:num>
  <w:num w:numId="89">
    <w:abstractNumId w:val="17"/>
  </w:num>
  <w:num w:numId="90">
    <w:abstractNumId w:val="135"/>
  </w:num>
  <w:num w:numId="91">
    <w:abstractNumId w:val="0"/>
  </w:num>
  <w:num w:numId="92">
    <w:abstractNumId w:val="56"/>
  </w:num>
  <w:num w:numId="93">
    <w:abstractNumId w:val="112"/>
  </w:num>
  <w:num w:numId="94">
    <w:abstractNumId w:val="85"/>
  </w:num>
  <w:num w:numId="95">
    <w:abstractNumId w:val="128"/>
  </w:num>
  <w:num w:numId="96">
    <w:abstractNumId w:val="110"/>
  </w:num>
  <w:num w:numId="97">
    <w:abstractNumId w:val="38"/>
  </w:num>
  <w:num w:numId="98">
    <w:abstractNumId w:val="125"/>
  </w:num>
  <w:num w:numId="99">
    <w:abstractNumId w:val="133"/>
  </w:num>
  <w:num w:numId="100">
    <w:abstractNumId w:val="114"/>
  </w:num>
  <w:num w:numId="101">
    <w:abstractNumId w:val="91"/>
  </w:num>
  <w:num w:numId="102">
    <w:abstractNumId w:val="39"/>
  </w:num>
  <w:num w:numId="103">
    <w:abstractNumId w:val="101"/>
  </w:num>
  <w:num w:numId="104">
    <w:abstractNumId w:val="64"/>
  </w:num>
  <w:num w:numId="105">
    <w:abstractNumId w:val="4"/>
  </w:num>
  <w:num w:numId="106">
    <w:abstractNumId w:val="1"/>
  </w:num>
  <w:num w:numId="107">
    <w:abstractNumId w:val="87"/>
  </w:num>
  <w:num w:numId="108">
    <w:abstractNumId w:val="116"/>
  </w:num>
  <w:num w:numId="109">
    <w:abstractNumId w:val="3"/>
  </w:num>
  <w:num w:numId="110">
    <w:abstractNumId w:val="57"/>
  </w:num>
  <w:num w:numId="111">
    <w:abstractNumId w:val="16"/>
  </w:num>
  <w:num w:numId="112">
    <w:abstractNumId w:val="93"/>
  </w:num>
  <w:num w:numId="113">
    <w:abstractNumId w:val="111"/>
  </w:num>
  <w:num w:numId="114">
    <w:abstractNumId w:val="47"/>
  </w:num>
  <w:num w:numId="115">
    <w:abstractNumId w:val="132"/>
  </w:num>
  <w:num w:numId="116">
    <w:abstractNumId w:val="79"/>
  </w:num>
  <w:num w:numId="117">
    <w:abstractNumId w:val="96"/>
  </w:num>
  <w:num w:numId="118">
    <w:abstractNumId w:val="136"/>
  </w:num>
  <w:num w:numId="119">
    <w:abstractNumId w:val="68"/>
  </w:num>
  <w:num w:numId="120">
    <w:abstractNumId w:val="126"/>
  </w:num>
  <w:num w:numId="121">
    <w:abstractNumId w:val="55"/>
  </w:num>
  <w:num w:numId="122">
    <w:abstractNumId w:val="49"/>
  </w:num>
  <w:num w:numId="123">
    <w:abstractNumId w:val="115"/>
  </w:num>
  <w:num w:numId="124">
    <w:abstractNumId w:val="61"/>
  </w:num>
  <w:num w:numId="125">
    <w:abstractNumId w:val="95"/>
  </w:num>
  <w:num w:numId="126">
    <w:abstractNumId w:val="8"/>
  </w:num>
  <w:num w:numId="127">
    <w:abstractNumId w:val="113"/>
  </w:num>
  <w:num w:numId="128">
    <w:abstractNumId w:val="30"/>
  </w:num>
  <w:num w:numId="129">
    <w:abstractNumId w:val="82"/>
  </w:num>
  <w:num w:numId="130">
    <w:abstractNumId w:val="108"/>
  </w:num>
  <w:num w:numId="131">
    <w:abstractNumId w:val="123"/>
  </w:num>
  <w:num w:numId="132">
    <w:abstractNumId w:val="7"/>
  </w:num>
  <w:num w:numId="133">
    <w:abstractNumId w:val="86"/>
  </w:num>
  <w:num w:numId="134">
    <w:abstractNumId w:val="77"/>
  </w:num>
  <w:num w:numId="135">
    <w:abstractNumId w:val="34"/>
  </w:num>
  <w:num w:numId="136">
    <w:abstractNumId w:val="97"/>
  </w:num>
  <w:num w:numId="137">
    <w:abstractNumId w:val="102"/>
  </w:num>
  <w:num w:numId="138">
    <w:abstractNumId w:val="71"/>
  </w:num>
  <w:num w:numId="139">
    <w:abstractNumId w:val="119"/>
  </w:num>
  <w:num w:numId="140">
    <w:abstractNumId w:val="29"/>
  </w:num>
  <w:num w:numId="141">
    <w:abstractNumId w:val="9"/>
  </w:num>
  <w:num w:numId="142">
    <w:abstractNumId w:val="66"/>
  </w:num>
  <w:num w:numId="143">
    <w:abstractNumId w:val="107"/>
  </w:num>
  <w:num w:numId="144">
    <w:abstractNumId w:val="109"/>
  </w:num>
  <w:num w:numId="145">
    <w:abstractNumId w:val="3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45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A0B61"/>
    <w:rsid w:val="000002A4"/>
    <w:rsid w:val="00000D90"/>
    <w:rsid w:val="00001704"/>
    <w:rsid w:val="00001A53"/>
    <w:rsid w:val="000020A7"/>
    <w:rsid w:val="0000282E"/>
    <w:rsid w:val="00002A32"/>
    <w:rsid w:val="00003744"/>
    <w:rsid w:val="000039E6"/>
    <w:rsid w:val="0000470F"/>
    <w:rsid w:val="00007BA6"/>
    <w:rsid w:val="00010599"/>
    <w:rsid w:val="00010F8D"/>
    <w:rsid w:val="00011D5A"/>
    <w:rsid w:val="0001281D"/>
    <w:rsid w:val="00012C7D"/>
    <w:rsid w:val="00014451"/>
    <w:rsid w:val="00014DDE"/>
    <w:rsid w:val="00016198"/>
    <w:rsid w:val="00016FDC"/>
    <w:rsid w:val="000176F8"/>
    <w:rsid w:val="00017B6C"/>
    <w:rsid w:val="00021344"/>
    <w:rsid w:val="00021D71"/>
    <w:rsid w:val="000221A5"/>
    <w:rsid w:val="0002379A"/>
    <w:rsid w:val="00026921"/>
    <w:rsid w:val="000272D7"/>
    <w:rsid w:val="00030BB2"/>
    <w:rsid w:val="00030E4C"/>
    <w:rsid w:val="00032EF3"/>
    <w:rsid w:val="00032EF9"/>
    <w:rsid w:val="00033144"/>
    <w:rsid w:val="0003353E"/>
    <w:rsid w:val="000362CE"/>
    <w:rsid w:val="0003750B"/>
    <w:rsid w:val="00037545"/>
    <w:rsid w:val="000377C5"/>
    <w:rsid w:val="000407DC"/>
    <w:rsid w:val="000408B6"/>
    <w:rsid w:val="00040CF5"/>
    <w:rsid w:val="00041645"/>
    <w:rsid w:val="00044785"/>
    <w:rsid w:val="00044AB0"/>
    <w:rsid w:val="000460EE"/>
    <w:rsid w:val="00047510"/>
    <w:rsid w:val="00047A5E"/>
    <w:rsid w:val="00047CFA"/>
    <w:rsid w:val="00050452"/>
    <w:rsid w:val="00052DC2"/>
    <w:rsid w:val="00053108"/>
    <w:rsid w:val="00054434"/>
    <w:rsid w:val="00054463"/>
    <w:rsid w:val="0005607E"/>
    <w:rsid w:val="00056D3F"/>
    <w:rsid w:val="00060633"/>
    <w:rsid w:val="00060C74"/>
    <w:rsid w:val="0006160D"/>
    <w:rsid w:val="000644E6"/>
    <w:rsid w:val="00064AF8"/>
    <w:rsid w:val="00064DA2"/>
    <w:rsid w:val="0006515D"/>
    <w:rsid w:val="00065CBF"/>
    <w:rsid w:val="000660C5"/>
    <w:rsid w:val="00066710"/>
    <w:rsid w:val="000677BE"/>
    <w:rsid w:val="00071D7C"/>
    <w:rsid w:val="00072869"/>
    <w:rsid w:val="000731D7"/>
    <w:rsid w:val="00073549"/>
    <w:rsid w:val="00077465"/>
    <w:rsid w:val="00080301"/>
    <w:rsid w:val="00080BD4"/>
    <w:rsid w:val="00080D37"/>
    <w:rsid w:val="0008136D"/>
    <w:rsid w:val="00081A4C"/>
    <w:rsid w:val="00081B5B"/>
    <w:rsid w:val="00081E14"/>
    <w:rsid w:val="00082AA5"/>
    <w:rsid w:val="00082FFB"/>
    <w:rsid w:val="000837B9"/>
    <w:rsid w:val="000859E1"/>
    <w:rsid w:val="00086093"/>
    <w:rsid w:val="000861FB"/>
    <w:rsid w:val="00086244"/>
    <w:rsid w:val="00087D14"/>
    <w:rsid w:val="00090817"/>
    <w:rsid w:val="00091873"/>
    <w:rsid w:val="00091EF0"/>
    <w:rsid w:val="00094466"/>
    <w:rsid w:val="00094ABF"/>
    <w:rsid w:val="0009509C"/>
    <w:rsid w:val="0009529B"/>
    <w:rsid w:val="000955D5"/>
    <w:rsid w:val="000964EC"/>
    <w:rsid w:val="000965AD"/>
    <w:rsid w:val="00096FA0"/>
    <w:rsid w:val="0009746A"/>
    <w:rsid w:val="000A0B74"/>
    <w:rsid w:val="000A1101"/>
    <w:rsid w:val="000A12D0"/>
    <w:rsid w:val="000A1745"/>
    <w:rsid w:val="000A183D"/>
    <w:rsid w:val="000A36A1"/>
    <w:rsid w:val="000A5F74"/>
    <w:rsid w:val="000B065E"/>
    <w:rsid w:val="000B21DA"/>
    <w:rsid w:val="000B3593"/>
    <w:rsid w:val="000B509D"/>
    <w:rsid w:val="000C03D3"/>
    <w:rsid w:val="000C12E8"/>
    <w:rsid w:val="000C14B6"/>
    <w:rsid w:val="000C39FD"/>
    <w:rsid w:val="000C417B"/>
    <w:rsid w:val="000C5629"/>
    <w:rsid w:val="000C65F6"/>
    <w:rsid w:val="000C7CF3"/>
    <w:rsid w:val="000D0CFC"/>
    <w:rsid w:val="000D0E65"/>
    <w:rsid w:val="000D1C31"/>
    <w:rsid w:val="000D1E6C"/>
    <w:rsid w:val="000D27D3"/>
    <w:rsid w:val="000D371C"/>
    <w:rsid w:val="000D3810"/>
    <w:rsid w:val="000D3F73"/>
    <w:rsid w:val="000D49C3"/>
    <w:rsid w:val="000D5435"/>
    <w:rsid w:val="000D55D8"/>
    <w:rsid w:val="000D5722"/>
    <w:rsid w:val="000D5BA6"/>
    <w:rsid w:val="000D64A2"/>
    <w:rsid w:val="000D6890"/>
    <w:rsid w:val="000D6FD1"/>
    <w:rsid w:val="000E0EB7"/>
    <w:rsid w:val="000E2EFB"/>
    <w:rsid w:val="000E31C1"/>
    <w:rsid w:val="000E4353"/>
    <w:rsid w:val="000E5439"/>
    <w:rsid w:val="000E568E"/>
    <w:rsid w:val="000E6A62"/>
    <w:rsid w:val="000F105E"/>
    <w:rsid w:val="000F1101"/>
    <w:rsid w:val="000F138D"/>
    <w:rsid w:val="000F1936"/>
    <w:rsid w:val="000F2590"/>
    <w:rsid w:val="000F2C3B"/>
    <w:rsid w:val="000F35CE"/>
    <w:rsid w:val="000F3600"/>
    <w:rsid w:val="000F3CD3"/>
    <w:rsid w:val="000F3F6E"/>
    <w:rsid w:val="000F5172"/>
    <w:rsid w:val="000F5437"/>
    <w:rsid w:val="000F6334"/>
    <w:rsid w:val="000F63BF"/>
    <w:rsid w:val="00101482"/>
    <w:rsid w:val="00101A74"/>
    <w:rsid w:val="00102DBE"/>
    <w:rsid w:val="0010391A"/>
    <w:rsid w:val="00103E48"/>
    <w:rsid w:val="00103F2A"/>
    <w:rsid w:val="00104477"/>
    <w:rsid w:val="00105297"/>
    <w:rsid w:val="00105EAF"/>
    <w:rsid w:val="00105FD0"/>
    <w:rsid w:val="00106175"/>
    <w:rsid w:val="001069A6"/>
    <w:rsid w:val="001070E4"/>
    <w:rsid w:val="00110F41"/>
    <w:rsid w:val="001121EB"/>
    <w:rsid w:val="00112366"/>
    <w:rsid w:val="00112626"/>
    <w:rsid w:val="001128B4"/>
    <w:rsid w:val="00112CA1"/>
    <w:rsid w:val="00114A31"/>
    <w:rsid w:val="00116095"/>
    <w:rsid w:val="00116556"/>
    <w:rsid w:val="00116572"/>
    <w:rsid w:val="00120109"/>
    <w:rsid w:val="001204CE"/>
    <w:rsid w:val="001208E4"/>
    <w:rsid w:val="00120FBD"/>
    <w:rsid w:val="00121489"/>
    <w:rsid w:val="00121C68"/>
    <w:rsid w:val="00122A17"/>
    <w:rsid w:val="00125AB7"/>
    <w:rsid w:val="00126DBB"/>
    <w:rsid w:val="00126E80"/>
    <w:rsid w:val="001279D9"/>
    <w:rsid w:val="00127ED8"/>
    <w:rsid w:val="001303C6"/>
    <w:rsid w:val="001308B6"/>
    <w:rsid w:val="0013235C"/>
    <w:rsid w:val="00133878"/>
    <w:rsid w:val="00133CA9"/>
    <w:rsid w:val="001342DE"/>
    <w:rsid w:val="00135A7E"/>
    <w:rsid w:val="001360B4"/>
    <w:rsid w:val="0013663E"/>
    <w:rsid w:val="00136B20"/>
    <w:rsid w:val="0014039E"/>
    <w:rsid w:val="001404B6"/>
    <w:rsid w:val="00140567"/>
    <w:rsid w:val="00140C9E"/>
    <w:rsid w:val="00141C8E"/>
    <w:rsid w:val="001437E1"/>
    <w:rsid w:val="001437E3"/>
    <w:rsid w:val="001438D3"/>
    <w:rsid w:val="00145658"/>
    <w:rsid w:val="00145D4D"/>
    <w:rsid w:val="001461AD"/>
    <w:rsid w:val="00146511"/>
    <w:rsid w:val="001469C9"/>
    <w:rsid w:val="00147D63"/>
    <w:rsid w:val="00150D4B"/>
    <w:rsid w:val="00151808"/>
    <w:rsid w:val="001529FD"/>
    <w:rsid w:val="00153A43"/>
    <w:rsid w:val="00154774"/>
    <w:rsid w:val="001559F9"/>
    <w:rsid w:val="001567EE"/>
    <w:rsid w:val="00157AA8"/>
    <w:rsid w:val="00157D82"/>
    <w:rsid w:val="00161C64"/>
    <w:rsid w:val="00162E9B"/>
    <w:rsid w:val="00163448"/>
    <w:rsid w:val="001636A2"/>
    <w:rsid w:val="00163A80"/>
    <w:rsid w:val="00163BF0"/>
    <w:rsid w:val="00163BF7"/>
    <w:rsid w:val="001648DF"/>
    <w:rsid w:val="00164EAF"/>
    <w:rsid w:val="00164FCA"/>
    <w:rsid w:val="00165672"/>
    <w:rsid w:val="0016772D"/>
    <w:rsid w:val="0016784F"/>
    <w:rsid w:val="00167B68"/>
    <w:rsid w:val="0017023D"/>
    <w:rsid w:val="001704C3"/>
    <w:rsid w:val="001705B2"/>
    <w:rsid w:val="00170781"/>
    <w:rsid w:val="00170788"/>
    <w:rsid w:val="00170CA0"/>
    <w:rsid w:val="00171717"/>
    <w:rsid w:val="0017376F"/>
    <w:rsid w:val="001744DF"/>
    <w:rsid w:val="00175395"/>
    <w:rsid w:val="00176185"/>
    <w:rsid w:val="001766B8"/>
    <w:rsid w:val="001773D7"/>
    <w:rsid w:val="0017783C"/>
    <w:rsid w:val="00177AAB"/>
    <w:rsid w:val="00177BB3"/>
    <w:rsid w:val="0018173A"/>
    <w:rsid w:val="00181D24"/>
    <w:rsid w:val="00183D44"/>
    <w:rsid w:val="0018531B"/>
    <w:rsid w:val="00185A37"/>
    <w:rsid w:val="001860AD"/>
    <w:rsid w:val="00190A56"/>
    <w:rsid w:val="00190A91"/>
    <w:rsid w:val="00191A7C"/>
    <w:rsid w:val="00192423"/>
    <w:rsid w:val="0019277F"/>
    <w:rsid w:val="00193AA3"/>
    <w:rsid w:val="001941D9"/>
    <w:rsid w:val="00194274"/>
    <w:rsid w:val="00194287"/>
    <w:rsid w:val="00194527"/>
    <w:rsid w:val="001945A4"/>
    <w:rsid w:val="0019460B"/>
    <w:rsid w:val="001957A8"/>
    <w:rsid w:val="0019612A"/>
    <w:rsid w:val="0019693A"/>
    <w:rsid w:val="001A03DB"/>
    <w:rsid w:val="001A0ECF"/>
    <w:rsid w:val="001A17F2"/>
    <w:rsid w:val="001A1A14"/>
    <w:rsid w:val="001A1C90"/>
    <w:rsid w:val="001A3191"/>
    <w:rsid w:val="001A36EE"/>
    <w:rsid w:val="001A5847"/>
    <w:rsid w:val="001A696D"/>
    <w:rsid w:val="001B0827"/>
    <w:rsid w:val="001B3874"/>
    <w:rsid w:val="001B4026"/>
    <w:rsid w:val="001B4078"/>
    <w:rsid w:val="001B4D11"/>
    <w:rsid w:val="001B64BD"/>
    <w:rsid w:val="001B680F"/>
    <w:rsid w:val="001B6D22"/>
    <w:rsid w:val="001B7C10"/>
    <w:rsid w:val="001C0406"/>
    <w:rsid w:val="001C103C"/>
    <w:rsid w:val="001C14CC"/>
    <w:rsid w:val="001C180B"/>
    <w:rsid w:val="001C200F"/>
    <w:rsid w:val="001C2565"/>
    <w:rsid w:val="001C4225"/>
    <w:rsid w:val="001C5515"/>
    <w:rsid w:val="001C5BF6"/>
    <w:rsid w:val="001C5C3C"/>
    <w:rsid w:val="001C65A4"/>
    <w:rsid w:val="001C6AE4"/>
    <w:rsid w:val="001C6C63"/>
    <w:rsid w:val="001C7034"/>
    <w:rsid w:val="001D00AE"/>
    <w:rsid w:val="001D0AD6"/>
    <w:rsid w:val="001D40F7"/>
    <w:rsid w:val="001D43B7"/>
    <w:rsid w:val="001D4AA7"/>
    <w:rsid w:val="001D5135"/>
    <w:rsid w:val="001D5263"/>
    <w:rsid w:val="001D6133"/>
    <w:rsid w:val="001E1DA8"/>
    <w:rsid w:val="001E4A42"/>
    <w:rsid w:val="001E6390"/>
    <w:rsid w:val="001E6748"/>
    <w:rsid w:val="001E6BB7"/>
    <w:rsid w:val="001E6C7B"/>
    <w:rsid w:val="001F0362"/>
    <w:rsid w:val="001F116B"/>
    <w:rsid w:val="001F1B5B"/>
    <w:rsid w:val="001F2494"/>
    <w:rsid w:val="001F34C3"/>
    <w:rsid w:val="001F365D"/>
    <w:rsid w:val="001F4BBD"/>
    <w:rsid w:val="001F72BA"/>
    <w:rsid w:val="00201048"/>
    <w:rsid w:val="00203216"/>
    <w:rsid w:val="00203C67"/>
    <w:rsid w:val="00204341"/>
    <w:rsid w:val="00204991"/>
    <w:rsid w:val="00205C5C"/>
    <w:rsid w:val="00210589"/>
    <w:rsid w:val="0021084E"/>
    <w:rsid w:val="0021122E"/>
    <w:rsid w:val="00211854"/>
    <w:rsid w:val="00212355"/>
    <w:rsid w:val="00214710"/>
    <w:rsid w:val="002163C8"/>
    <w:rsid w:val="0021676E"/>
    <w:rsid w:val="00216B70"/>
    <w:rsid w:val="00221AD1"/>
    <w:rsid w:val="00221B70"/>
    <w:rsid w:val="00223BD0"/>
    <w:rsid w:val="00225083"/>
    <w:rsid w:val="00225570"/>
    <w:rsid w:val="00226D30"/>
    <w:rsid w:val="00226EE5"/>
    <w:rsid w:val="002270ED"/>
    <w:rsid w:val="00231056"/>
    <w:rsid w:val="0023215D"/>
    <w:rsid w:val="00234377"/>
    <w:rsid w:val="00234CE1"/>
    <w:rsid w:val="00236BE2"/>
    <w:rsid w:val="00237283"/>
    <w:rsid w:val="00237F3A"/>
    <w:rsid w:val="00241562"/>
    <w:rsid w:val="00242FE2"/>
    <w:rsid w:val="00243E0F"/>
    <w:rsid w:val="00243EBF"/>
    <w:rsid w:val="00245F40"/>
    <w:rsid w:val="002464AA"/>
    <w:rsid w:val="00250AAB"/>
    <w:rsid w:val="00252D8C"/>
    <w:rsid w:val="00252DA3"/>
    <w:rsid w:val="00252F35"/>
    <w:rsid w:val="00253B7B"/>
    <w:rsid w:val="00253B7D"/>
    <w:rsid w:val="00254C15"/>
    <w:rsid w:val="00255397"/>
    <w:rsid w:val="00255462"/>
    <w:rsid w:val="0025705B"/>
    <w:rsid w:val="002601FD"/>
    <w:rsid w:val="0026022D"/>
    <w:rsid w:val="00260AEA"/>
    <w:rsid w:val="00261816"/>
    <w:rsid w:val="00261D85"/>
    <w:rsid w:val="00261E24"/>
    <w:rsid w:val="00261EC8"/>
    <w:rsid w:val="00263086"/>
    <w:rsid w:val="002636EA"/>
    <w:rsid w:val="0026498E"/>
    <w:rsid w:val="00264C00"/>
    <w:rsid w:val="00265407"/>
    <w:rsid w:val="00265FF3"/>
    <w:rsid w:val="00266F4C"/>
    <w:rsid w:val="0026730F"/>
    <w:rsid w:val="002702DD"/>
    <w:rsid w:val="00270B8E"/>
    <w:rsid w:val="00270C10"/>
    <w:rsid w:val="00270D09"/>
    <w:rsid w:val="00271094"/>
    <w:rsid w:val="0027136C"/>
    <w:rsid w:val="00271449"/>
    <w:rsid w:val="00272795"/>
    <w:rsid w:val="0027288A"/>
    <w:rsid w:val="00272DDE"/>
    <w:rsid w:val="00273DB9"/>
    <w:rsid w:val="002750A2"/>
    <w:rsid w:val="00275901"/>
    <w:rsid w:val="00276711"/>
    <w:rsid w:val="002771B4"/>
    <w:rsid w:val="00280511"/>
    <w:rsid w:val="00280759"/>
    <w:rsid w:val="002808D5"/>
    <w:rsid w:val="00282921"/>
    <w:rsid w:val="00282E93"/>
    <w:rsid w:val="00283118"/>
    <w:rsid w:val="00284204"/>
    <w:rsid w:val="00284E11"/>
    <w:rsid w:val="00285793"/>
    <w:rsid w:val="00290302"/>
    <w:rsid w:val="00291787"/>
    <w:rsid w:val="00291DA2"/>
    <w:rsid w:val="002925AB"/>
    <w:rsid w:val="00292AD4"/>
    <w:rsid w:val="00292B02"/>
    <w:rsid w:val="002937AA"/>
    <w:rsid w:val="00294A75"/>
    <w:rsid w:val="00296128"/>
    <w:rsid w:val="00296364"/>
    <w:rsid w:val="00296CAB"/>
    <w:rsid w:val="00296EBB"/>
    <w:rsid w:val="00297BA0"/>
    <w:rsid w:val="002A1B1F"/>
    <w:rsid w:val="002A1DCB"/>
    <w:rsid w:val="002A2F92"/>
    <w:rsid w:val="002A3566"/>
    <w:rsid w:val="002A60B2"/>
    <w:rsid w:val="002A6426"/>
    <w:rsid w:val="002A7028"/>
    <w:rsid w:val="002A7942"/>
    <w:rsid w:val="002B0351"/>
    <w:rsid w:val="002B0790"/>
    <w:rsid w:val="002B0D30"/>
    <w:rsid w:val="002B0D80"/>
    <w:rsid w:val="002B1E8C"/>
    <w:rsid w:val="002B3597"/>
    <w:rsid w:val="002B3818"/>
    <w:rsid w:val="002B3E8C"/>
    <w:rsid w:val="002B5945"/>
    <w:rsid w:val="002B5A91"/>
    <w:rsid w:val="002B67CD"/>
    <w:rsid w:val="002B7934"/>
    <w:rsid w:val="002B79E6"/>
    <w:rsid w:val="002C0A01"/>
    <w:rsid w:val="002C1B1F"/>
    <w:rsid w:val="002C28D0"/>
    <w:rsid w:val="002C3850"/>
    <w:rsid w:val="002C38CB"/>
    <w:rsid w:val="002C4256"/>
    <w:rsid w:val="002C44F8"/>
    <w:rsid w:val="002C4C2C"/>
    <w:rsid w:val="002C505F"/>
    <w:rsid w:val="002C56D3"/>
    <w:rsid w:val="002C613A"/>
    <w:rsid w:val="002C6705"/>
    <w:rsid w:val="002C681C"/>
    <w:rsid w:val="002C6B1E"/>
    <w:rsid w:val="002C70C7"/>
    <w:rsid w:val="002D0BDF"/>
    <w:rsid w:val="002D1BD3"/>
    <w:rsid w:val="002D1CC0"/>
    <w:rsid w:val="002D2503"/>
    <w:rsid w:val="002D526D"/>
    <w:rsid w:val="002D5BA9"/>
    <w:rsid w:val="002E20BF"/>
    <w:rsid w:val="002E3933"/>
    <w:rsid w:val="002E3A2A"/>
    <w:rsid w:val="002E4ADE"/>
    <w:rsid w:val="002E4D8C"/>
    <w:rsid w:val="002E6ABC"/>
    <w:rsid w:val="002E71B9"/>
    <w:rsid w:val="002E721A"/>
    <w:rsid w:val="002E7892"/>
    <w:rsid w:val="002E78A8"/>
    <w:rsid w:val="002E7B82"/>
    <w:rsid w:val="002F00EE"/>
    <w:rsid w:val="002F01E4"/>
    <w:rsid w:val="002F05B1"/>
    <w:rsid w:val="002F072B"/>
    <w:rsid w:val="002F0A52"/>
    <w:rsid w:val="002F1082"/>
    <w:rsid w:val="002F1334"/>
    <w:rsid w:val="002F2CC7"/>
    <w:rsid w:val="002F4CD6"/>
    <w:rsid w:val="002F71E6"/>
    <w:rsid w:val="002F75A1"/>
    <w:rsid w:val="003007CB"/>
    <w:rsid w:val="00300CE9"/>
    <w:rsid w:val="00301168"/>
    <w:rsid w:val="00301759"/>
    <w:rsid w:val="00302153"/>
    <w:rsid w:val="0030294F"/>
    <w:rsid w:val="00302FA1"/>
    <w:rsid w:val="003033A0"/>
    <w:rsid w:val="0030404C"/>
    <w:rsid w:val="003109B9"/>
    <w:rsid w:val="003109F6"/>
    <w:rsid w:val="00312602"/>
    <w:rsid w:val="0031280E"/>
    <w:rsid w:val="0031349A"/>
    <w:rsid w:val="00313C6A"/>
    <w:rsid w:val="003167A6"/>
    <w:rsid w:val="00320062"/>
    <w:rsid w:val="00320F73"/>
    <w:rsid w:val="00321281"/>
    <w:rsid w:val="00321563"/>
    <w:rsid w:val="003215DC"/>
    <w:rsid w:val="00321955"/>
    <w:rsid w:val="003223BE"/>
    <w:rsid w:val="003229E1"/>
    <w:rsid w:val="0032484E"/>
    <w:rsid w:val="00325045"/>
    <w:rsid w:val="00326AB2"/>
    <w:rsid w:val="00327DA4"/>
    <w:rsid w:val="00327DB7"/>
    <w:rsid w:val="00327E87"/>
    <w:rsid w:val="00330285"/>
    <w:rsid w:val="003312B7"/>
    <w:rsid w:val="003322BD"/>
    <w:rsid w:val="00332850"/>
    <w:rsid w:val="00333441"/>
    <w:rsid w:val="003338BC"/>
    <w:rsid w:val="00334365"/>
    <w:rsid w:val="00334843"/>
    <w:rsid w:val="00334975"/>
    <w:rsid w:val="00335808"/>
    <w:rsid w:val="003362B0"/>
    <w:rsid w:val="00336803"/>
    <w:rsid w:val="00336C61"/>
    <w:rsid w:val="00337581"/>
    <w:rsid w:val="00337781"/>
    <w:rsid w:val="00337C6A"/>
    <w:rsid w:val="00341389"/>
    <w:rsid w:val="003421F9"/>
    <w:rsid w:val="00343DF3"/>
    <w:rsid w:val="003449A4"/>
    <w:rsid w:val="0034501A"/>
    <w:rsid w:val="003477BE"/>
    <w:rsid w:val="00347D0D"/>
    <w:rsid w:val="00347EBF"/>
    <w:rsid w:val="003501EA"/>
    <w:rsid w:val="003503E9"/>
    <w:rsid w:val="00351870"/>
    <w:rsid w:val="003518E2"/>
    <w:rsid w:val="003526DD"/>
    <w:rsid w:val="00353231"/>
    <w:rsid w:val="00353474"/>
    <w:rsid w:val="00353653"/>
    <w:rsid w:val="0035401C"/>
    <w:rsid w:val="003544C2"/>
    <w:rsid w:val="00354BAA"/>
    <w:rsid w:val="00355679"/>
    <w:rsid w:val="003575CC"/>
    <w:rsid w:val="00357AFC"/>
    <w:rsid w:val="00357BBA"/>
    <w:rsid w:val="00357D4C"/>
    <w:rsid w:val="00357DA3"/>
    <w:rsid w:val="00366229"/>
    <w:rsid w:val="0036692B"/>
    <w:rsid w:val="003702FB"/>
    <w:rsid w:val="00371213"/>
    <w:rsid w:val="00373C4E"/>
    <w:rsid w:val="00374DA1"/>
    <w:rsid w:val="00375C06"/>
    <w:rsid w:val="00380BD9"/>
    <w:rsid w:val="00380CC9"/>
    <w:rsid w:val="00380CD3"/>
    <w:rsid w:val="00381A41"/>
    <w:rsid w:val="00382E55"/>
    <w:rsid w:val="00383928"/>
    <w:rsid w:val="0038560F"/>
    <w:rsid w:val="00385E43"/>
    <w:rsid w:val="00386721"/>
    <w:rsid w:val="003867CB"/>
    <w:rsid w:val="003912B1"/>
    <w:rsid w:val="00391FC5"/>
    <w:rsid w:val="0039221D"/>
    <w:rsid w:val="00392F8F"/>
    <w:rsid w:val="0039321F"/>
    <w:rsid w:val="00393A46"/>
    <w:rsid w:val="0039440F"/>
    <w:rsid w:val="00396553"/>
    <w:rsid w:val="003A348A"/>
    <w:rsid w:val="003A39B8"/>
    <w:rsid w:val="003A3AD2"/>
    <w:rsid w:val="003A4902"/>
    <w:rsid w:val="003A51E1"/>
    <w:rsid w:val="003A5C86"/>
    <w:rsid w:val="003A5FC2"/>
    <w:rsid w:val="003A6534"/>
    <w:rsid w:val="003A67E9"/>
    <w:rsid w:val="003A7313"/>
    <w:rsid w:val="003A7BFA"/>
    <w:rsid w:val="003B1808"/>
    <w:rsid w:val="003B2CC7"/>
    <w:rsid w:val="003B42EB"/>
    <w:rsid w:val="003B55F4"/>
    <w:rsid w:val="003B6EBA"/>
    <w:rsid w:val="003B71FF"/>
    <w:rsid w:val="003B7CEA"/>
    <w:rsid w:val="003C06FE"/>
    <w:rsid w:val="003C1219"/>
    <w:rsid w:val="003C1D99"/>
    <w:rsid w:val="003C271A"/>
    <w:rsid w:val="003C3C1D"/>
    <w:rsid w:val="003C5E6B"/>
    <w:rsid w:val="003C5FFB"/>
    <w:rsid w:val="003D0634"/>
    <w:rsid w:val="003D0FF5"/>
    <w:rsid w:val="003D13DD"/>
    <w:rsid w:val="003D2074"/>
    <w:rsid w:val="003D2A04"/>
    <w:rsid w:val="003D2C6F"/>
    <w:rsid w:val="003D2F3E"/>
    <w:rsid w:val="003D3265"/>
    <w:rsid w:val="003D3597"/>
    <w:rsid w:val="003D3AC0"/>
    <w:rsid w:val="003D41C3"/>
    <w:rsid w:val="003D4C39"/>
    <w:rsid w:val="003D583E"/>
    <w:rsid w:val="003D5D4F"/>
    <w:rsid w:val="003D5E5A"/>
    <w:rsid w:val="003D5EA4"/>
    <w:rsid w:val="003D5F68"/>
    <w:rsid w:val="003D67A2"/>
    <w:rsid w:val="003D6ACC"/>
    <w:rsid w:val="003D7119"/>
    <w:rsid w:val="003D7AE0"/>
    <w:rsid w:val="003E01D0"/>
    <w:rsid w:val="003E0975"/>
    <w:rsid w:val="003E09D7"/>
    <w:rsid w:val="003E47A6"/>
    <w:rsid w:val="003E5105"/>
    <w:rsid w:val="003E59B2"/>
    <w:rsid w:val="003E712F"/>
    <w:rsid w:val="003E7F59"/>
    <w:rsid w:val="003E7F74"/>
    <w:rsid w:val="003F0265"/>
    <w:rsid w:val="003F094C"/>
    <w:rsid w:val="003F37CA"/>
    <w:rsid w:val="003F400C"/>
    <w:rsid w:val="003F454C"/>
    <w:rsid w:val="003F4DA9"/>
    <w:rsid w:val="003F4DD0"/>
    <w:rsid w:val="003F69DF"/>
    <w:rsid w:val="003F7B55"/>
    <w:rsid w:val="0040015C"/>
    <w:rsid w:val="00402348"/>
    <w:rsid w:val="0040246D"/>
    <w:rsid w:val="00402889"/>
    <w:rsid w:val="004033EB"/>
    <w:rsid w:val="004037CA"/>
    <w:rsid w:val="00404107"/>
    <w:rsid w:val="00404244"/>
    <w:rsid w:val="00406670"/>
    <w:rsid w:val="00413653"/>
    <w:rsid w:val="004148AB"/>
    <w:rsid w:val="00414CEF"/>
    <w:rsid w:val="00414D56"/>
    <w:rsid w:val="004154A6"/>
    <w:rsid w:val="00415A5D"/>
    <w:rsid w:val="00416735"/>
    <w:rsid w:val="00416C8E"/>
    <w:rsid w:val="00420BAC"/>
    <w:rsid w:val="00423596"/>
    <w:rsid w:val="004247C1"/>
    <w:rsid w:val="00425247"/>
    <w:rsid w:val="00425CD1"/>
    <w:rsid w:val="00426091"/>
    <w:rsid w:val="00426939"/>
    <w:rsid w:val="004272EB"/>
    <w:rsid w:val="0042760A"/>
    <w:rsid w:val="004304C8"/>
    <w:rsid w:val="00430BF8"/>
    <w:rsid w:val="004318CE"/>
    <w:rsid w:val="00431B06"/>
    <w:rsid w:val="00433543"/>
    <w:rsid w:val="004339E1"/>
    <w:rsid w:val="0043530A"/>
    <w:rsid w:val="0043718E"/>
    <w:rsid w:val="004401DE"/>
    <w:rsid w:val="0044053C"/>
    <w:rsid w:val="0044072F"/>
    <w:rsid w:val="00440889"/>
    <w:rsid w:val="004409F9"/>
    <w:rsid w:val="0044119D"/>
    <w:rsid w:val="0044179B"/>
    <w:rsid w:val="0044296B"/>
    <w:rsid w:val="00443BDE"/>
    <w:rsid w:val="00443E32"/>
    <w:rsid w:val="00445125"/>
    <w:rsid w:val="004477C2"/>
    <w:rsid w:val="00447AD0"/>
    <w:rsid w:val="00451E10"/>
    <w:rsid w:val="00452123"/>
    <w:rsid w:val="00452644"/>
    <w:rsid w:val="0045314B"/>
    <w:rsid w:val="0045425A"/>
    <w:rsid w:val="00455D2D"/>
    <w:rsid w:val="00456458"/>
    <w:rsid w:val="00460380"/>
    <w:rsid w:val="004622D2"/>
    <w:rsid w:val="004635B7"/>
    <w:rsid w:val="004636C6"/>
    <w:rsid w:val="00465C17"/>
    <w:rsid w:val="0047058B"/>
    <w:rsid w:val="004705DA"/>
    <w:rsid w:val="004709B1"/>
    <w:rsid w:val="00472088"/>
    <w:rsid w:val="00472E9F"/>
    <w:rsid w:val="004732A8"/>
    <w:rsid w:val="004742FA"/>
    <w:rsid w:val="00474F3D"/>
    <w:rsid w:val="00480683"/>
    <w:rsid w:val="0048186D"/>
    <w:rsid w:val="00482019"/>
    <w:rsid w:val="00483FD9"/>
    <w:rsid w:val="0048534A"/>
    <w:rsid w:val="0048534F"/>
    <w:rsid w:val="00485CAA"/>
    <w:rsid w:val="00485DAE"/>
    <w:rsid w:val="004874BF"/>
    <w:rsid w:val="00490BD6"/>
    <w:rsid w:val="0049302C"/>
    <w:rsid w:val="004943FF"/>
    <w:rsid w:val="00494C87"/>
    <w:rsid w:val="00496E94"/>
    <w:rsid w:val="00497276"/>
    <w:rsid w:val="00497D42"/>
    <w:rsid w:val="004A0630"/>
    <w:rsid w:val="004A2223"/>
    <w:rsid w:val="004A2404"/>
    <w:rsid w:val="004A248C"/>
    <w:rsid w:val="004A26E9"/>
    <w:rsid w:val="004A2B53"/>
    <w:rsid w:val="004A2EDE"/>
    <w:rsid w:val="004A6001"/>
    <w:rsid w:val="004B000A"/>
    <w:rsid w:val="004B0646"/>
    <w:rsid w:val="004B1753"/>
    <w:rsid w:val="004B20F2"/>
    <w:rsid w:val="004B3E8C"/>
    <w:rsid w:val="004B42C4"/>
    <w:rsid w:val="004B63A4"/>
    <w:rsid w:val="004B64E6"/>
    <w:rsid w:val="004B710E"/>
    <w:rsid w:val="004C1F32"/>
    <w:rsid w:val="004C20A5"/>
    <w:rsid w:val="004C2E4D"/>
    <w:rsid w:val="004C4484"/>
    <w:rsid w:val="004C51C2"/>
    <w:rsid w:val="004C5885"/>
    <w:rsid w:val="004C6AB4"/>
    <w:rsid w:val="004C74C0"/>
    <w:rsid w:val="004D0BC5"/>
    <w:rsid w:val="004D22A9"/>
    <w:rsid w:val="004D375D"/>
    <w:rsid w:val="004D3D37"/>
    <w:rsid w:val="004D43B8"/>
    <w:rsid w:val="004D4A8F"/>
    <w:rsid w:val="004D52C9"/>
    <w:rsid w:val="004D5352"/>
    <w:rsid w:val="004D707C"/>
    <w:rsid w:val="004D754F"/>
    <w:rsid w:val="004E0179"/>
    <w:rsid w:val="004E0C40"/>
    <w:rsid w:val="004E3432"/>
    <w:rsid w:val="004E524D"/>
    <w:rsid w:val="004E5281"/>
    <w:rsid w:val="004E6315"/>
    <w:rsid w:val="004E6344"/>
    <w:rsid w:val="004E649D"/>
    <w:rsid w:val="004E6868"/>
    <w:rsid w:val="004E79FC"/>
    <w:rsid w:val="004E7D1B"/>
    <w:rsid w:val="004E7E1C"/>
    <w:rsid w:val="004F14CD"/>
    <w:rsid w:val="004F1A31"/>
    <w:rsid w:val="004F1C24"/>
    <w:rsid w:val="004F20DC"/>
    <w:rsid w:val="004F2715"/>
    <w:rsid w:val="004F2EEB"/>
    <w:rsid w:val="004F3DFE"/>
    <w:rsid w:val="004F43FD"/>
    <w:rsid w:val="004F45C4"/>
    <w:rsid w:val="004F675D"/>
    <w:rsid w:val="004F7BB2"/>
    <w:rsid w:val="0050024B"/>
    <w:rsid w:val="00502BCA"/>
    <w:rsid w:val="00503D7E"/>
    <w:rsid w:val="0050473B"/>
    <w:rsid w:val="00504E07"/>
    <w:rsid w:val="00505ACE"/>
    <w:rsid w:val="00507232"/>
    <w:rsid w:val="00510420"/>
    <w:rsid w:val="00511083"/>
    <w:rsid w:val="005117BC"/>
    <w:rsid w:val="00511891"/>
    <w:rsid w:val="00511F20"/>
    <w:rsid w:val="00512C62"/>
    <w:rsid w:val="005131ED"/>
    <w:rsid w:val="005136FC"/>
    <w:rsid w:val="00515CC0"/>
    <w:rsid w:val="00515E49"/>
    <w:rsid w:val="00516326"/>
    <w:rsid w:val="00520571"/>
    <w:rsid w:val="00520790"/>
    <w:rsid w:val="005219CF"/>
    <w:rsid w:val="00523BA9"/>
    <w:rsid w:val="00524F4F"/>
    <w:rsid w:val="00525DAE"/>
    <w:rsid w:val="0052748B"/>
    <w:rsid w:val="00527861"/>
    <w:rsid w:val="00527A90"/>
    <w:rsid w:val="00530614"/>
    <w:rsid w:val="00532742"/>
    <w:rsid w:val="00532876"/>
    <w:rsid w:val="005328AF"/>
    <w:rsid w:val="00533A07"/>
    <w:rsid w:val="00534E8E"/>
    <w:rsid w:val="005373B5"/>
    <w:rsid w:val="005410AB"/>
    <w:rsid w:val="0054177B"/>
    <w:rsid w:val="00542457"/>
    <w:rsid w:val="005428A8"/>
    <w:rsid w:val="00542F46"/>
    <w:rsid w:val="005446C9"/>
    <w:rsid w:val="00544CB4"/>
    <w:rsid w:val="00545E05"/>
    <w:rsid w:val="00546802"/>
    <w:rsid w:val="00546A96"/>
    <w:rsid w:val="00546FB7"/>
    <w:rsid w:val="00551143"/>
    <w:rsid w:val="005512EB"/>
    <w:rsid w:val="005517CB"/>
    <w:rsid w:val="00552360"/>
    <w:rsid w:val="00552E9F"/>
    <w:rsid w:val="005530BA"/>
    <w:rsid w:val="00553F1D"/>
    <w:rsid w:val="0055459C"/>
    <w:rsid w:val="00554F9A"/>
    <w:rsid w:val="005559CA"/>
    <w:rsid w:val="00555F36"/>
    <w:rsid w:val="005569BD"/>
    <w:rsid w:val="00556D3E"/>
    <w:rsid w:val="005619BB"/>
    <w:rsid w:val="00561DB2"/>
    <w:rsid w:val="00563FC5"/>
    <w:rsid w:val="00566D82"/>
    <w:rsid w:val="00567341"/>
    <w:rsid w:val="0057066C"/>
    <w:rsid w:val="0057088F"/>
    <w:rsid w:val="005716B3"/>
    <w:rsid w:val="00572F32"/>
    <w:rsid w:val="00573342"/>
    <w:rsid w:val="00576332"/>
    <w:rsid w:val="00577D7A"/>
    <w:rsid w:val="00577F85"/>
    <w:rsid w:val="00581426"/>
    <w:rsid w:val="00582136"/>
    <w:rsid w:val="00582488"/>
    <w:rsid w:val="005841F7"/>
    <w:rsid w:val="00584FDA"/>
    <w:rsid w:val="0058549C"/>
    <w:rsid w:val="00586575"/>
    <w:rsid w:val="0058685B"/>
    <w:rsid w:val="005872A4"/>
    <w:rsid w:val="0058764C"/>
    <w:rsid w:val="00587655"/>
    <w:rsid w:val="00590516"/>
    <w:rsid w:val="005908D8"/>
    <w:rsid w:val="00591806"/>
    <w:rsid w:val="005934DE"/>
    <w:rsid w:val="00595448"/>
    <w:rsid w:val="00596ADF"/>
    <w:rsid w:val="0059706E"/>
    <w:rsid w:val="005974BF"/>
    <w:rsid w:val="00597DDC"/>
    <w:rsid w:val="005A0852"/>
    <w:rsid w:val="005A0924"/>
    <w:rsid w:val="005A0AE7"/>
    <w:rsid w:val="005A140B"/>
    <w:rsid w:val="005A1570"/>
    <w:rsid w:val="005A2248"/>
    <w:rsid w:val="005A27C8"/>
    <w:rsid w:val="005A2B0E"/>
    <w:rsid w:val="005A316D"/>
    <w:rsid w:val="005A3D57"/>
    <w:rsid w:val="005A42C2"/>
    <w:rsid w:val="005A4B4B"/>
    <w:rsid w:val="005A572E"/>
    <w:rsid w:val="005A6DA7"/>
    <w:rsid w:val="005A72AE"/>
    <w:rsid w:val="005A7559"/>
    <w:rsid w:val="005A7824"/>
    <w:rsid w:val="005B0625"/>
    <w:rsid w:val="005B37B4"/>
    <w:rsid w:val="005B5A2F"/>
    <w:rsid w:val="005B6155"/>
    <w:rsid w:val="005B6D7E"/>
    <w:rsid w:val="005B7D32"/>
    <w:rsid w:val="005C1713"/>
    <w:rsid w:val="005C1905"/>
    <w:rsid w:val="005C23F6"/>
    <w:rsid w:val="005C5654"/>
    <w:rsid w:val="005C65E7"/>
    <w:rsid w:val="005C7466"/>
    <w:rsid w:val="005C77F1"/>
    <w:rsid w:val="005D0266"/>
    <w:rsid w:val="005D0CE9"/>
    <w:rsid w:val="005D0E75"/>
    <w:rsid w:val="005D11AB"/>
    <w:rsid w:val="005D225E"/>
    <w:rsid w:val="005D348C"/>
    <w:rsid w:val="005D3EA2"/>
    <w:rsid w:val="005D49A8"/>
    <w:rsid w:val="005D4E4E"/>
    <w:rsid w:val="005D516B"/>
    <w:rsid w:val="005D7266"/>
    <w:rsid w:val="005D72E5"/>
    <w:rsid w:val="005D7BE4"/>
    <w:rsid w:val="005D7EEC"/>
    <w:rsid w:val="005E0CE6"/>
    <w:rsid w:val="005E1416"/>
    <w:rsid w:val="005E1CED"/>
    <w:rsid w:val="005E1CFA"/>
    <w:rsid w:val="005E1DC0"/>
    <w:rsid w:val="005E245F"/>
    <w:rsid w:val="005E269C"/>
    <w:rsid w:val="005E3E5A"/>
    <w:rsid w:val="005E431C"/>
    <w:rsid w:val="005E46BD"/>
    <w:rsid w:val="005E547A"/>
    <w:rsid w:val="005E5D6B"/>
    <w:rsid w:val="005E5FCE"/>
    <w:rsid w:val="005E627D"/>
    <w:rsid w:val="005E6282"/>
    <w:rsid w:val="005E6807"/>
    <w:rsid w:val="005E6C93"/>
    <w:rsid w:val="005E6F15"/>
    <w:rsid w:val="005E709E"/>
    <w:rsid w:val="005F194B"/>
    <w:rsid w:val="005F2219"/>
    <w:rsid w:val="005F3739"/>
    <w:rsid w:val="005F3855"/>
    <w:rsid w:val="005F3BBF"/>
    <w:rsid w:val="005F3BCB"/>
    <w:rsid w:val="005F3EA6"/>
    <w:rsid w:val="005F476C"/>
    <w:rsid w:val="005F6EC2"/>
    <w:rsid w:val="005F6F06"/>
    <w:rsid w:val="005F7068"/>
    <w:rsid w:val="00600418"/>
    <w:rsid w:val="006012EC"/>
    <w:rsid w:val="0060262B"/>
    <w:rsid w:val="006029C0"/>
    <w:rsid w:val="00603C04"/>
    <w:rsid w:val="00604E0B"/>
    <w:rsid w:val="00605373"/>
    <w:rsid w:val="00605F50"/>
    <w:rsid w:val="006063A2"/>
    <w:rsid w:val="006064C1"/>
    <w:rsid w:val="00606FD8"/>
    <w:rsid w:val="006071B1"/>
    <w:rsid w:val="006078C8"/>
    <w:rsid w:val="00610117"/>
    <w:rsid w:val="00611253"/>
    <w:rsid w:val="00612F52"/>
    <w:rsid w:val="0061434D"/>
    <w:rsid w:val="00617DCA"/>
    <w:rsid w:val="006215AE"/>
    <w:rsid w:val="006221B5"/>
    <w:rsid w:val="0062275B"/>
    <w:rsid w:val="00622967"/>
    <w:rsid w:val="006235F8"/>
    <w:rsid w:val="00625CA7"/>
    <w:rsid w:val="00626A46"/>
    <w:rsid w:val="00627504"/>
    <w:rsid w:val="00631245"/>
    <w:rsid w:val="0063156B"/>
    <w:rsid w:val="00631BA9"/>
    <w:rsid w:val="00632456"/>
    <w:rsid w:val="00632748"/>
    <w:rsid w:val="00633686"/>
    <w:rsid w:val="00633D6B"/>
    <w:rsid w:val="00634CAC"/>
    <w:rsid w:val="0063510D"/>
    <w:rsid w:val="00635F96"/>
    <w:rsid w:val="00636C15"/>
    <w:rsid w:val="006370CE"/>
    <w:rsid w:val="00640259"/>
    <w:rsid w:val="006402D9"/>
    <w:rsid w:val="00640E48"/>
    <w:rsid w:val="0064164E"/>
    <w:rsid w:val="00641D53"/>
    <w:rsid w:val="006420CD"/>
    <w:rsid w:val="00642A8E"/>
    <w:rsid w:val="00642DE8"/>
    <w:rsid w:val="006439A8"/>
    <w:rsid w:val="00643D2A"/>
    <w:rsid w:val="00644801"/>
    <w:rsid w:val="00644D8E"/>
    <w:rsid w:val="00647968"/>
    <w:rsid w:val="00650212"/>
    <w:rsid w:val="0065041E"/>
    <w:rsid w:val="00650AC2"/>
    <w:rsid w:val="00651B24"/>
    <w:rsid w:val="0065231B"/>
    <w:rsid w:val="00652396"/>
    <w:rsid w:val="00652557"/>
    <w:rsid w:val="00653D54"/>
    <w:rsid w:val="00655AA4"/>
    <w:rsid w:val="0065624B"/>
    <w:rsid w:val="0066106B"/>
    <w:rsid w:val="00661798"/>
    <w:rsid w:val="00661E05"/>
    <w:rsid w:val="0066452D"/>
    <w:rsid w:val="00664BCA"/>
    <w:rsid w:val="00664E30"/>
    <w:rsid w:val="0066541F"/>
    <w:rsid w:val="00665F8E"/>
    <w:rsid w:val="006670C7"/>
    <w:rsid w:val="0067059C"/>
    <w:rsid w:val="00671C3E"/>
    <w:rsid w:val="00671F80"/>
    <w:rsid w:val="006744B0"/>
    <w:rsid w:val="00674633"/>
    <w:rsid w:val="0067619F"/>
    <w:rsid w:val="006772B0"/>
    <w:rsid w:val="00677506"/>
    <w:rsid w:val="006775FF"/>
    <w:rsid w:val="00677F28"/>
    <w:rsid w:val="00681014"/>
    <w:rsid w:val="006813F3"/>
    <w:rsid w:val="006814C8"/>
    <w:rsid w:val="006816D2"/>
    <w:rsid w:val="006816D9"/>
    <w:rsid w:val="00681B5C"/>
    <w:rsid w:val="00681C26"/>
    <w:rsid w:val="006821FB"/>
    <w:rsid w:val="00683A29"/>
    <w:rsid w:val="00684331"/>
    <w:rsid w:val="00684409"/>
    <w:rsid w:val="00684901"/>
    <w:rsid w:val="00684B20"/>
    <w:rsid w:val="00685F4E"/>
    <w:rsid w:val="00686FA7"/>
    <w:rsid w:val="00687A51"/>
    <w:rsid w:val="00690ADD"/>
    <w:rsid w:val="00690EE5"/>
    <w:rsid w:val="00691B44"/>
    <w:rsid w:val="00693276"/>
    <w:rsid w:val="00693316"/>
    <w:rsid w:val="0069357B"/>
    <w:rsid w:val="006935F3"/>
    <w:rsid w:val="00693963"/>
    <w:rsid w:val="00694F4D"/>
    <w:rsid w:val="0069576F"/>
    <w:rsid w:val="006958FE"/>
    <w:rsid w:val="006970FB"/>
    <w:rsid w:val="00697D42"/>
    <w:rsid w:val="006A0B1C"/>
    <w:rsid w:val="006A0BEE"/>
    <w:rsid w:val="006A1479"/>
    <w:rsid w:val="006A2A07"/>
    <w:rsid w:val="006A2EDE"/>
    <w:rsid w:val="006A71DD"/>
    <w:rsid w:val="006B0659"/>
    <w:rsid w:val="006B08FA"/>
    <w:rsid w:val="006B1B97"/>
    <w:rsid w:val="006B1E9D"/>
    <w:rsid w:val="006B32C2"/>
    <w:rsid w:val="006B3B9C"/>
    <w:rsid w:val="006B4A04"/>
    <w:rsid w:val="006B62A2"/>
    <w:rsid w:val="006B6C32"/>
    <w:rsid w:val="006B77B7"/>
    <w:rsid w:val="006C0966"/>
    <w:rsid w:val="006C1423"/>
    <w:rsid w:val="006C1BAA"/>
    <w:rsid w:val="006C259D"/>
    <w:rsid w:val="006C4CA7"/>
    <w:rsid w:val="006C54BD"/>
    <w:rsid w:val="006C72F0"/>
    <w:rsid w:val="006C7795"/>
    <w:rsid w:val="006C7AE1"/>
    <w:rsid w:val="006D03FA"/>
    <w:rsid w:val="006D0C1E"/>
    <w:rsid w:val="006D308F"/>
    <w:rsid w:val="006D3B43"/>
    <w:rsid w:val="006D3F21"/>
    <w:rsid w:val="006D4F10"/>
    <w:rsid w:val="006D69D7"/>
    <w:rsid w:val="006D6D72"/>
    <w:rsid w:val="006D6DD2"/>
    <w:rsid w:val="006D6E0F"/>
    <w:rsid w:val="006E063C"/>
    <w:rsid w:val="006E0EE8"/>
    <w:rsid w:val="006E0FAD"/>
    <w:rsid w:val="006E2021"/>
    <w:rsid w:val="006E21EC"/>
    <w:rsid w:val="006E2466"/>
    <w:rsid w:val="006E26C0"/>
    <w:rsid w:val="006E2BD0"/>
    <w:rsid w:val="006E2F05"/>
    <w:rsid w:val="006E3B7F"/>
    <w:rsid w:val="006E46F9"/>
    <w:rsid w:val="006E519E"/>
    <w:rsid w:val="006E592A"/>
    <w:rsid w:val="006E5E96"/>
    <w:rsid w:val="006E6275"/>
    <w:rsid w:val="006E6D46"/>
    <w:rsid w:val="006E76B6"/>
    <w:rsid w:val="006F09B2"/>
    <w:rsid w:val="006F0F4C"/>
    <w:rsid w:val="006F1C76"/>
    <w:rsid w:val="006F242F"/>
    <w:rsid w:val="006F392A"/>
    <w:rsid w:val="006F3C0D"/>
    <w:rsid w:val="006F3D7A"/>
    <w:rsid w:val="006F3DC9"/>
    <w:rsid w:val="006F3F32"/>
    <w:rsid w:val="006F40F6"/>
    <w:rsid w:val="006F440A"/>
    <w:rsid w:val="006F4851"/>
    <w:rsid w:val="006F604E"/>
    <w:rsid w:val="006F64D8"/>
    <w:rsid w:val="007001B6"/>
    <w:rsid w:val="00700226"/>
    <w:rsid w:val="00700BC3"/>
    <w:rsid w:val="00701336"/>
    <w:rsid w:val="00702372"/>
    <w:rsid w:val="007038FE"/>
    <w:rsid w:val="00703E8C"/>
    <w:rsid w:val="00705100"/>
    <w:rsid w:val="007053B6"/>
    <w:rsid w:val="0070621A"/>
    <w:rsid w:val="007071C0"/>
    <w:rsid w:val="007076A9"/>
    <w:rsid w:val="007078E7"/>
    <w:rsid w:val="00707C0B"/>
    <w:rsid w:val="00713B80"/>
    <w:rsid w:val="00713F25"/>
    <w:rsid w:val="0071484C"/>
    <w:rsid w:val="00715972"/>
    <w:rsid w:val="007175B0"/>
    <w:rsid w:val="00717B41"/>
    <w:rsid w:val="0072023A"/>
    <w:rsid w:val="007202FA"/>
    <w:rsid w:val="0072043A"/>
    <w:rsid w:val="007208CF"/>
    <w:rsid w:val="00720F10"/>
    <w:rsid w:val="00721F9B"/>
    <w:rsid w:val="0072248F"/>
    <w:rsid w:val="00722982"/>
    <w:rsid w:val="00722D21"/>
    <w:rsid w:val="007242FD"/>
    <w:rsid w:val="00724C0D"/>
    <w:rsid w:val="00725546"/>
    <w:rsid w:val="007278BA"/>
    <w:rsid w:val="00730661"/>
    <w:rsid w:val="0073163C"/>
    <w:rsid w:val="00732376"/>
    <w:rsid w:val="00732A56"/>
    <w:rsid w:val="00732EB1"/>
    <w:rsid w:val="00734FAB"/>
    <w:rsid w:val="00735084"/>
    <w:rsid w:val="00735D81"/>
    <w:rsid w:val="00735F91"/>
    <w:rsid w:val="0074150C"/>
    <w:rsid w:val="00741C6D"/>
    <w:rsid w:val="00742297"/>
    <w:rsid w:val="007456C6"/>
    <w:rsid w:val="00745DBD"/>
    <w:rsid w:val="00747426"/>
    <w:rsid w:val="007477D7"/>
    <w:rsid w:val="00747BF2"/>
    <w:rsid w:val="007512A4"/>
    <w:rsid w:val="007517F4"/>
    <w:rsid w:val="00751B75"/>
    <w:rsid w:val="0075302F"/>
    <w:rsid w:val="00753169"/>
    <w:rsid w:val="007535DB"/>
    <w:rsid w:val="0075362B"/>
    <w:rsid w:val="007536B0"/>
    <w:rsid w:val="00753BA0"/>
    <w:rsid w:val="00753BD5"/>
    <w:rsid w:val="0075468C"/>
    <w:rsid w:val="0075520C"/>
    <w:rsid w:val="00756031"/>
    <w:rsid w:val="0075605A"/>
    <w:rsid w:val="0075690A"/>
    <w:rsid w:val="00757CC3"/>
    <w:rsid w:val="0076013D"/>
    <w:rsid w:val="00760B66"/>
    <w:rsid w:val="00760BEC"/>
    <w:rsid w:val="007613B3"/>
    <w:rsid w:val="007614EA"/>
    <w:rsid w:val="00761F0B"/>
    <w:rsid w:val="00762AA3"/>
    <w:rsid w:val="00763821"/>
    <w:rsid w:val="00763E93"/>
    <w:rsid w:val="00764527"/>
    <w:rsid w:val="007645FF"/>
    <w:rsid w:val="007673A5"/>
    <w:rsid w:val="00771F2E"/>
    <w:rsid w:val="007730EE"/>
    <w:rsid w:val="007731BE"/>
    <w:rsid w:val="0077323D"/>
    <w:rsid w:val="00774CBF"/>
    <w:rsid w:val="00775C32"/>
    <w:rsid w:val="00776362"/>
    <w:rsid w:val="00776BCA"/>
    <w:rsid w:val="00776E1A"/>
    <w:rsid w:val="0077745B"/>
    <w:rsid w:val="007774CD"/>
    <w:rsid w:val="00780378"/>
    <w:rsid w:val="00780C6D"/>
    <w:rsid w:val="007819BB"/>
    <w:rsid w:val="00782E38"/>
    <w:rsid w:val="007834A1"/>
    <w:rsid w:val="007834F0"/>
    <w:rsid w:val="007838FC"/>
    <w:rsid w:val="00783D02"/>
    <w:rsid w:val="00783F0E"/>
    <w:rsid w:val="00784108"/>
    <w:rsid w:val="00785F94"/>
    <w:rsid w:val="007865CE"/>
    <w:rsid w:val="007866D2"/>
    <w:rsid w:val="00786FBF"/>
    <w:rsid w:val="00787EC5"/>
    <w:rsid w:val="007903CA"/>
    <w:rsid w:val="00790817"/>
    <w:rsid w:val="0079129F"/>
    <w:rsid w:val="0079186F"/>
    <w:rsid w:val="007955E8"/>
    <w:rsid w:val="00795C67"/>
    <w:rsid w:val="00795E75"/>
    <w:rsid w:val="00797AD3"/>
    <w:rsid w:val="007A1065"/>
    <w:rsid w:val="007A13C8"/>
    <w:rsid w:val="007A1590"/>
    <w:rsid w:val="007A1893"/>
    <w:rsid w:val="007A1956"/>
    <w:rsid w:val="007A1E22"/>
    <w:rsid w:val="007A1ECB"/>
    <w:rsid w:val="007A21BD"/>
    <w:rsid w:val="007A22C1"/>
    <w:rsid w:val="007A22E2"/>
    <w:rsid w:val="007A2592"/>
    <w:rsid w:val="007A2C39"/>
    <w:rsid w:val="007A2DF6"/>
    <w:rsid w:val="007A55D2"/>
    <w:rsid w:val="007A58D6"/>
    <w:rsid w:val="007A6F4A"/>
    <w:rsid w:val="007A7662"/>
    <w:rsid w:val="007A78E6"/>
    <w:rsid w:val="007A7A65"/>
    <w:rsid w:val="007B0680"/>
    <w:rsid w:val="007B1396"/>
    <w:rsid w:val="007B303D"/>
    <w:rsid w:val="007B3119"/>
    <w:rsid w:val="007B3E12"/>
    <w:rsid w:val="007B4009"/>
    <w:rsid w:val="007B5152"/>
    <w:rsid w:val="007B59FF"/>
    <w:rsid w:val="007B6074"/>
    <w:rsid w:val="007B798A"/>
    <w:rsid w:val="007C0173"/>
    <w:rsid w:val="007C0A10"/>
    <w:rsid w:val="007C121D"/>
    <w:rsid w:val="007C1535"/>
    <w:rsid w:val="007C2240"/>
    <w:rsid w:val="007C29D4"/>
    <w:rsid w:val="007C4B13"/>
    <w:rsid w:val="007C4C55"/>
    <w:rsid w:val="007C4E73"/>
    <w:rsid w:val="007C5C5D"/>
    <w:rsid w:val="007C60D8"/>
    <w:rsid w:val="007C627C"/>
    <w:rsid w:val="007C7327"/>
    <w:rsid w:val="007C7AB2"/>
    <w:rsid w:val="007C7CCD"/>
    <w:rsid w:val="007D0D36"/>
    <w:rsid w:val="007D1556"/>
    <w:rsid w:val="007D192C"/>
    <w:rsid w:val="007D2BD1"/>
    <w:rsid w:val="007D3E83"/>
    <w:rsid w:val="007D48C5"/>
    <w:rsid w:val="007D6D7E"/>
    <w:rsid w:val="007D6DC9"/>
    <w:rsid w:val="007D716D"/>
    <w:rsid w:val="007D754F"/>
    <w:rsid w:val="007E0222"/>
    <w:rsid w:val="007E1391"/>
    <w:rsid w:val="007E2045"/>
    <w:rsid w:val="007E262F"/>
    <w:rsid w:val="007E3014"/>
    <w:rsid w:val="007E36E5"/>
    <w:rsid w:val="007E3ACA"/>
    <w:rsid w:val="007E3D38"/>
    <w:rsid w:val="007E5923"/>
    <w:rsid w:val="007E59D8"/>
    <w:rsid w:val="007E6504"/>
    <w:rsid w:val="007E69F8"/>
    <w:rsid w:val="007E7CA9"/>
    <w:rsid w:val="007F0B94"/>
    <w:rsid w:val="007F0D3F"/>
    <w:rsid w:val="007F1555"/>
    <w:rsid w:val="007F217A"/>
    <w:rsid w:val="007F282F"/>
    <w:rsid w:val="007F346C"/>
    <w:rsid w:val="007F372B"/>
    <w:rsid w:val="007F5C18"/>
    <w:rsid w:val="007F5C5A"/>
    <w:rsid w:val="007F6333"/>
    <w:rsid w:val="007F6654"/>
    <w:rsid w:val="007F6E2A"/>
    <w:rsid w:val="007F750B"/>
    <w:rsid w:val="00801472"/>
    <w:rsid w:val="00802AD6"/>
    <w:rsid w:val="00803060"/>
    <w:rsid w:val="0080317F"/>
    <w:rsid w:val="0080322A"/>
    <w:rsid w:val="00803236"/>
    <w:rsid w:val="00803475"/>
    <w:rsid w:val="00804F10"/>
    <w:rsid w:val="008051AF"/>
    <w:rsid w:val="008062B8"/>
    <w:rsid w:val="00807727"/>
    <w:rsid w:val="00807B2A"/>
    <w:rsid w:val="00807F70"/>
    <w:rsid w:val="00810D9A"/>
    <w:rsid w:val="00811F3D"/>
    <w:rsid w:val="0081346D"/>
    <w:rsid w:val="00813F52"/>
    <w:rsid w:val="008140D4"/>
    <w:rsid w:val="00815485"/>
    <w:rsid w:val="00816468"/>
    <w:rsid w:val="00817159"/>
    <w:rsid w:val="00820BE5"/>
    <w:rsid w:val="008215AB"/>
    <w:rsid w:val="00824095"/>
    <w:rsid w:val="00824A4D"/>
    <w:rsid w:val="00825352"/>
    <w:rsid w:val="00825E23"/>
    <w:rsid w:val="0082637E"/>
    <w:rsid w:val="00826A4D"/>
    <w:rsid w:val="00826BD6"/>
    <w:rsid w:val="0083064A"/>
    <w:rsid w:val="00830D40"/>
    <w:rsid w:val="00832F58"/>
    <w:rsid w:val="008341D6"/>
    <w:rsid w:val="0083459F"/>
    <w:rsid w:val="00834834"/>
    <w:rsid w:val="008363CA"/>
    <w:rsid w:val="00836A2B"/>
    <w:rsid w:val="00840E51"/>
    <w:rsid w:val="00841271"/>
    <w:rsid w:val="00842061"/>
    <w:rsid w:val="00844012"/>
    <w:rsid w:val="008445F5"/>
    <w:rsid w:val="00844C3B"/>
    <w:rsid w:val="00844EE5"/>
    <w:rsid w:val="00844FBB"/>
    <w:rsid w:val="00845053"/>
    <w:rsid w:val="00845C66"/>
    <w:rsid w:val="008463D7"/>
    <w:rsid w:val="008464EC"/>
    <w:rsid w:val="008470D6"/>
    <w:rsid w:val="00850D5D"/>
    <w:rsid w:val="00851211"/>
    <w:rsid w:val="008522E2"/>
    <w:rsid w:val="008529CA"/>
    <w:rsid w:val="008529D3"/>
    <w:rsid w:val="00852D88"/>
    <w:rsid w:val="00853474"/>
    <w:rsid w:val="008539EE"/>
    <w:rsid w:val="00853A75"/>
    <w:rsid w:val="00853A9D"/>
    <w:rsid w:val="008560A4"/>
    <w:rsid w:val="0085656E"/>
    <w:rsid w:val="00856B60"/>
    <w:rsid w:val="00857377"/>
    <w:rsid w:val="0086020A"/>
    <w:rsid w:val="0086256D"/>
    <w:rsid w:val="00862B01"/>
    <w:rsid w:val="008630CE"/>
    <w:rsid w:val="00863C5A"/>
    <w:rsid w:val="00864322"/>
    <w:rsid w:val="00867A01"/>
    <w:rsid w:val="00867FBE"/>
    <w:rsid w:val="00870778"/>
    <w:rsid w:val="008708A6"/>
    <w:rsid w:val="00872316"/>
    <w:rsid w:val="00872374"/>
    <w:rsid w:val="008726BE"/>
    <w:rsid w:val="0087290B"/>
    <w:rsid w:val="00872F9A"/>
    <w:rsid w:val="00873892"/>
    <w:rsid w:val="00873950"/>
    <w:rsid w:val="00873D47"/>
    <w:rsid w:val="008742F7"/>
    <w:rsid w:val="00874B10"/>
    <w:rsid w:val="00875772"/>
    <w:rsid w:val="00877303"/>
    <w:rsid w:val="00880859"/>
    <w:rsid w:val="008809CA"/>
    <w:rsid w:val="00880B6F"/>
    <w:rsid w:val="00881FBB"/>
    <w:rsid w:val="00882390"/>
    <w:rsid w:val="00883D44"/>
    <w:rsid w:val="00885ADE"/>
    <w:rsid w:val="00885CDA"/>
    <w:rsid w:val="0088690C"/>
    <w:rsid w:val="0088723B"/>
    <w:rsid w:val="0089083A"/>
    <w:rsid w:val="008923FB"/>
    <w:rsid w:val="00893041"/>
    <w:rsid w:val="008938EE"/>
    <w:rsid w:val="00894E9A"/>
    <w:rsid w:val="00895061"/>
    <w:rsid w:val="00895820"/>
    <w:rsid w:val="008964AB"/>
    <w:rsid w:val="00896566"/>
    <w:rsid w:val="0089666E"/>
    <w:rsid w:val="00896E4C"/>
    <w:rsid w:val="008970CC"/>
    <w:rsid w:val="00897566"/>
    <w:rsid w:val="00897B7A"/>
    <w:rsid w:val="00897C7F"/>
    <w:rsid w:val="008A03AA"/>
    <w:rsid w:val="008A0B61"/>
    <w:rsid w:val="008A1330"/>
    <w:rsid w:val="008A2427"/>
    <w:rsid w:val="008A328B"/>
    <w:rsid w:val="008A3FBF"/>
    <w:rsid w:val="008A46AC"/>
    <w:rsid w:val="008A7222"/>
    <w:rsid w:val="008A7934"/>
    <w:rsid w:val="008B04BF"/>
    <w:rsid w:val="008B0580"/>
    <w:rsid w:val="008B0685"/>
    <w:rsid w:val="008B0BF9"/>
    <w:rsid w:val="008B2E03"/>
    <w:rsid w:val="008B35E9"/>
    <w:rsid w:val="008B67F6"/>
    <w:rsid w:val="008B6D20"/>
    <w:rsid w:val="008B6E19"/>
    <w:rsid w:val="008B72EF"/>
    <w:rsid w:val="008B7D3D"/>
    <w:rsid w:val="008C09F3"/>
    <w:rsid w:val="008C0E5D"/>
    <w:rsid w:val="008C2930"/>
    <w:rsid w:val="008C29E8"/>
    <w:rsid w:val="008C3860"/>
    <w:rsid w:val="008C38A2"/>
    <w:rsid w:val="008C433F"/>
    <w:rsid w:val="008C5469"/>
    <w:rsid w:val="008D0E04"/>
    <w:rsid w:val="008D1DCF"/>
    <w:rsid w:val="008D20FF"/>
    <w:rsid w:val="008D3BC0"/>
    <w:rsid w:val="008D454D"/>
    <w:rsid w:val="008D48F1"/>
    <w:rsid w:val="008D52F0"/>
    <w:rsid w:val="008D6756"/>
    <w:rsid w:val="008D6786"/>
    <w:rsid w:val="008D7069"/>
    <w:rsid w:val="008D737B"/>
    <w:rsid w:val="008E108C"/>
    <w:rsid w:val="008E3459"/>
    <w:rsid w:val="008E4C16"/>
    <w:rsid w:val="008E54AF"/>
    <w:rsid w:val="008E5A00"/>
    <w:rsid w:val="008F519B"/>
    <w:rsid w:val="008F51FF"/>
    <w:rsid w:val="008F529A"/>
    <w:rsid w:val="008F5853"/>
    <w:rsid w:val="008F5AC0"/>
    <w:rsid w:val="008F5ACC"/>
    <w:rsid w:val="008F6532"/>
    <w:rsid w:val="00900971"/>
    <w:rsid w:val="00901453"/>
    <w:rsid w:val="0090194B"/>
    <w:rsid w:val="009026B6"/>
    <w:rsid w:val="009047CE"/>
    <w:rsid w:val="00904F1C"/>
    <w:rsid w:val="009059F7"/>
    <w:rsid w:val="00910334"/>
    <w:rsid w:val="00911BE4"/>
    <w:rsid w:val="00912A04"/>
    <w:rsid w:val="00913237"/>
    <w:rsid w:val="00914BA1"/>
    <w:rsid w:val="00915F87"/>
    <w:rsid w:val="009169C9"/>
    <w:rsid w:val="00916B20"/>
    <w:rsid w:val="00917459"/>
    <w:rsid w:val="00920EE0"/>
    <w:rsid w:val="00922053"/>
    <w:rsid w:val="00922479"/>
    <w:rsid w:val="0092471F"/>
    <w:rsid w:val="00924C99"/>
    <w:rsid w:val="0092612B"/>
    <w:rsid w:val="00926AA2"/>
    <w:rsid w:val="00926AA7"/>
    <w:rsid w:val="00926B2A"/>
    <w:rsid w:val="00926BC9"/>
    <w:rsid w:val="00926C12"/>
    <w:rsid w:val="00926D0D"/>
    <w:rsid w:val="00927311"/>
    <w:rsid w:val="00930170"/>
    <w:rsid w:val="00931892"/>
    <w:rsid w:val="009328A3"/>
    <w:rsid w:val="00932E13"/>
    <w:rsid w:val="00933EA2"/>
    <w:rsid w:val="00935809"/>
    <w:rsid w:val="00935BA5"/>
    <w:rsid w:val="00937016"/>
    <w:rsid w:val="0093705E"/>
    <w:rsid w:val="00941011"/>
    <w:rsid w:val="00941B89"/>
    <w:rsid w:val="00941FBA"/>
    <w:rsid w:val="00942937"/>
    <w:rsid w:val="00942D18"/>
    <w:rsid w:val="00942F8F"/>
    <w:rsid w:val="009433A4"/>
    <w:rsid w:val="00944371"/>
    <w:rsid w:val="009447D1"/>
    <w:rsid w:val="009451D5"/>
    <w:rsid w:val="00945235"/>
    <w:rsid w:val="00947AF0"/>
    <w:rsid w:val="009510E4"/>
    <w:rsid w:val="00952B63"/>
    <w:rsid w:val="00954075"/>
    <w:rsid w:val="00954898"/>
    <w:rsid w:val="00955898"/>
    <w:rsid w:val="00956D1F"/>
    <w:rsid w:val="00957B93"/>
    <w:rsid w:val="00957D2D"/>
    <w:rsid w:val="00961D1E"/>
    <w:rsid w:val="0096204E"/>
    <w:rsid w:val="00962F2A"/>
    <w:rsid w:val="009634E5"/>
    <w:rsid w:val="009653B8"/>
    <w:rsid w:val="00965DA1"/>
    <w:rsid w:val="00966096"/>
    <w:rsid w:val="009665E7"/>
    <w:rsid w:val="0097126F"/>
    <w:rsid w:val="00971D59"/>
    <w:rsid w:val="00972101"/>
    <w:rsid w:val="0097267E"/>
    <w:rsid w:val="00972768"/>
    <w:rsid w:val="00972999"/>
    <w:rsid w:val="00975B45"/>
    <w:rsid w:val="009764DE"/>
    <w:rsid w:val="0097709B"/>
    <w:rsid w:val="009773B2"/>
    <w:rsid w:val="009775F6"/>
    <w:rsid w:val="00977EB7"/>
    <w:rsid w:val="0098156A"/>
    <w:rsid w:val="009818B6"/>
    <w:rsid w:val="00981E3F"/>
    <w:rsid w:val="00982B14"/>
    <w:rsid w:val="00983D84"/>
    <w:rsid w:val="00983E4F"/>
    <w:rsid w:val="009865EF"/>
    <w:rsid w:val="0098767F"/>
    <w:rsid w:val="0098779C"/>
    <w:rsid w:val="00987A65"/>
    <w:rsid w:val="00990926"/>
    <w:rsid w:val="00991284"/>
    <w:rsid w:val="0099160A"/>
    <w:rsid w:val="0099217C"/>
    <w:rsid w:val="00992CEB"/>
    <w:rsid w:val="00994C9F"/>
    <w:rsid w:val="00994F54"/>
    <w:rsid w:val="00995271"/>
    <w:rsid w:val="009959AB"/>
    <w:rsid w:val="00997F0F"/>
    <w:rsid w:val="009A0B98"/>
    <w:rsid w:val="009A2C35"/>
    <w:rsid w:val="009A2D5D"/>
    <w:rsid w:val="009A461C"/>
    <w:rsid w:val="009A4EEA"/>
    <w:rsid w:val="009A5712"/>
    <w:rsid w:val="009A5D4D"/>
    <w:rsid w:val="009A6744"/>
    <w:rsid w:val="009A68DD"/>
    <w:rsid w:val="009A72CB"/>
    <w:rsid w:val="009A747B"/>
    <w:rsid w:val="009A7F0A"/>
    <w:rsid w:val="009B01B8"/>
    <w:rsid w:val="009B042C"/>
    <w:rsid w:val="009B0548"/>
    <w:rsid w:val="009B12D1"/>
    <w:rsid w:val="009B2557"/>
    <w:rsid w:val="009B385A"/>
    <w:rsid w:val="009B3B4B"/>
    <w:rsid w:val="009B47A3"/>
    <w:rsid w:val="009B489C"/>
    <w:rsid w:val="009B4C16"/>
    <w:rsid w:val="009B5123"/>
    <w:rsid w:val="009B5E5F"/>
    <w:rsid w:val="009B621A"/>
    <w:rsid w:val="009B65F3"/>
    <w:rsid w:val="009B7094"/>
    <w:rsid w:val="009B7273"/>
    <w:rsid w:val="009B763B"/>
    <w:rsid w:val="009B78F5"/>
    <w:rsid w:val="009B7FB3"/>
    <w:rsid w:val="009C01D8"/>
    <w:rsid w:val="009C0E5D"/>
    <w:rsid w:val="009C10C9"/>
    <w:rsid w:val="009C3876"/>
    <w:rsid w:val="009C3B3A"/>
    <w:rsid w:val="009C3F56"/>
    <w:rsid w:val="009C4333"/>
    <w:rsid w:val="009C5278"/>
    <w:rsid w:val="009C5341"/>
    <w:rsid w:val="009C574A"/>
    <w:rsid w:val="009C6563"/>
    <w:rsid w:val="009C673A"/>
    <w:rsid w:val="009C69C3"/>
    <w:rsid w:val="009C6D16"/>
    <w:rsid w:val="009C7291"/>
    <w:rsid w:val="009D0DBE"/>
    <w:rsid w:val="009D11A9"/>
    <w:rsid w:val="009D2026"/>
    <w:rsid w:val="009D2170"/>
    <w:rsid w:val="009D31F4"/>
    <w:rsid w:val="009D4B43"/>
    <w:rsid w:val="009D5F8E"/>
    <w:rsid w:val="009D61EC"/>
    <w:rsid w:val="009D6928"/>
    <w:rsid w:val="009D7EB8"/>
    <w:rsid w:val="009E0498"/>
    <w:rsid w:val="009E11A5"/>
    <w:rsid w:val="009E1D4A"/>
    <w:rsid w:val="009E4BA2"/>
    <w:rsid w:val="009F129B"/>
    <w:rsid w:val="009F1C02"/>
    <w:rsid w:val="009F1C57"/>
    <w:rsid w:val="009F2028"/>
    <w:rsid w:val="009F513F"/>
    <w:rsid w:val="009F5975"/>
    <w:rsid w:val="009F5A18"/>
    <w:rsid w:val="009F5EB1"/>
    <w:rsid w:val="009F600A"/>
    <w:rsid w:val="009F647C"/>
    <w:rsid w:val="009F7007"/>
    <w:rsid w:val="009F7C9E"/>
    <w:rsid w:val="00A01086"/>
    <w:rsid w:val="00A02601"/>
    <w:rsid w:val="00A041C9"/>
    <w:rsid w:val="00A04304"/>
    <w:rsid w:val="00A043A0"/>
    <w:rsid w:val="00A06D31"/>
    <w:rsid w:val="00A11DA8"/>
    <w:rsid w:val="00A1205D"/>
    <w:rsid w:val="00A13CDD"/>
    <w:rsid w:val="00A13DA3"/>
    <w:rsid w:val="00A14049"/>
    <w:rsid w:val="00A14B5C"/>
    <w:rsid w:val="00A163F5"/>
    <w:rsid w:val="00A16BC3"/>
    <w:rsid w:val="00A16CD9"/>
    <w:rsid w:val="00A208DB"/>
    <w:rsid w:val="00A20B2A"/>
    <w:rsid w:val="00A222C8"/>
    <w:rsid w:val="00A22DE6"/>
    <w:rsid w:val="00A22E9D"/>
    <w:rsid w:val="00A24ACF"/>
    <w:rsid w:val="00A250CC"/>
    <w:rsid w:val="00A256F8"/>
    <w:rsid w:val="00A274A0"/>
    <w:rsid w:val="00A27955"/>
    <w:rsid w:val="00A27C08"/>
    <w:rsid w:val="00A301E2"/>
    <w:rsid w:val="00A3064D"/>
    <w:rsid w:val="00A30B4A"/>
    <w:rsid w:val="00A31089"/>
    <w:rsid w:val="00A328F5"/>
    <w:rsid w:val="00A34FAF"/>
    <w:rsid w:val="00A361C5"/>
    <w:rsid w:val="00A37108"/>
    <w:rsid w:val="00A37A8F"/>
    <w:rsid w:val="00A40794"/>
    <w:rsid w:val="00A408BB"/>
    <w:rsid w:val="00A4100B"/>
    <w:rsid w:val="00A412ED"/>
    <w:rsid w:val="00A421E4"/>
    <w:rsid w:val="00A42F21"/>
    <w:rsid w:val="00A43969"/>
    <w:rsid w:val="00A43BDB"/>
    <w:rsid w:val="00A446AF"/>
    <w:rsid w:val="00A458E5"/>
    <w:rsid w:val="00A45B21"/>
    <w:rsid w:val="00A4651B"/>
    <w:rsid w:val="00A47911"/>
    <w:rsid w:val="00A47DF6"/>
    <w:rsid w:val="00A51C55"/>
    <w:rsid w:val="00A52228"/>
    <w:rsid w:val="00A533D3"/>
    <w:rsid w:val="00A574C7"/>
    <w:rsid w:val="00A574D3"/>
    <w:rsid w:val="00A6065C"/>
    <w:rsid w:val="00A60B6C"/>
    <w:rsid w:val="00A60EF9"/>
    <w:rsid w:val="00A6127F"/>
    <w:rsid w:val="00A618FC"/>
    <w:rsid w:val="00A62A16"/>
    <w:rsid w:val="00A64B30"/>
    <w:rsid w:val="00A65880"/>
    <w:rsid w:val="00A65A2F"/>
    <w:rsid w:val="00A664BE"/>
    <w:rsid w:val="00A66EFD"/>
    <w:rsid w:val="00A678C0"/>
    <w:rsid w:val="00A7011D"/>
    <w:rsid w:val="00A70EEB"/>
    <w:rsid w:val="00A71A02"/>
    <w:rsid w:val="00A72A5F"/>
    <w:rsid w:val="00A72EC3"/>
    <w:rsid w:val="00A73277"/>
    <w:rsid w:val="00A73608"/>
    <w:rsid w:val="00A73B76"/>
    <w:rsid w:val="00A7535F"/>
    <w:rsid w:val="00A76C5C"/>
    <w:rsid w:val="00A77009"/>
    <w:rsid w:val="00A771D2"/>
    <w:rsid w:val="00A77445"/>
    <w:rsid w:val="00A776AE"/>
    <w:rsid w:val="00A80C7E"/>
    <w:rsid w:val="00A814CF"/>
    <w:rsid w:val="00A81F5B"/>
    <w:rsid w:val="00A837C9"/>
    <w:rsid w:val="00A838A9"/>
    <w:rsid w:val="00A84D01"/>
    <w:rsid w:val="00A85724"/>
    <w:rsid w:val="00A8740D"/>
    <w:rsid w:val="00A874BF"/>
    <w:rsid w:val="00A8767A"/>
    <w:rsid w:val="00A87894"/>
    <w:rsid w:val="00A87D77"/>
    <w:rsid w:val="00A90733"/>
    <w:rsid w:val="00A91972"/>
    <w:rsid w:val="00A9277B"/>
    <w:rsid w:val="00A92A4A"/>
    <w:rsid w:val="00A93DEE"/>
    <w:rsid w:val="00A94D5C"/>
    <w:rsid w:val="00A94E68"/>
    <w:rsid w:val="00A950C1"/>
    <w:rsid w:val="00A951F0"/>
    <w:rsid w:val="00A952E9"/>
    <w:rsid w:val="00A96B5B"/>
    <w:rsid w:val="00A9765E"/>
    <w:rsid w:val="00AA0547"/>
    <w:rsid w:val="00AA275C"/>
    <w:rsid w:val="00AA2867"/>
    <w:rsid w:val="00AA2EE7"/>
    <w:rsid w:val="00AA3A3C"/>
    <w:rsid w:val="00AA3BFA"/>
    <w:rsid w:val="00AA499D"/>
    <w:rsid w:val="00AA60C8"/>
    <w:rsid w:val="00AA707F"/>
    <w:rsid w:val="00AA77D0"/>
    <w:rsid w:val="00AB0711"/>
    <w:rsid w:val="00AB1BD2"/>
    <w:rsid w:val="00AB211D"/>
    <w:rsid w:val="00AB237A"/>
    <w:rsid w:val="00AB2EB2"/>
    <w:rsid w:val="00AB3943"/>
    <w:rsid w:val="00AB3A72"/>
    <w:rsid w:val="00AB5BFE"/>
    <w:rsid w:val="00AB5E18"/>
    <w:rsid w:val="00AB67EE"/>
    <w:rsid w:val="00AB6FBA"/>
    <w:rsid w:val="00AB741C"/>
    <w:rsid w:val="00AB7AA8"/>
    <w:rsid w:val="00AC0567"/>
    <w:rsid w:val="00AC1C5A"/>
    <w:rsid w:val="00AC1FE3"/>
    <w:rsid w:val="00AC2614"/>
    <w:rsid w:val="00AC2B97"/>
    <w:rsid w:val="00AC34FA"/>
    <w:rsid w:val="00AC38AF"/>
    <w:rsid w:val="00AC4C2B"/>
    <w:rsid w:val="00AC5430"/>
    <w:rsid w:val="00AC5826"/>
    <w:rsid w:val="00AC6DAF"/>
    <w:rsid w:val="00AD07D3"/>
    <w:rsid w:val="00AD0A7E"/>
    <w:rsid w:val="00AD0A80"/>
    <w:rsid w:val="00AD1228"/>
    <w:rsid w:val="00AD1639"/>
    <w:rsid w:val="00AD1F0A"/>
    <w:rsid w:val="00AD3328"/>
    <w:rsid w:val="00AD4697"/>
    <w:rsid w:val="00AD4865"/>
    <w:rsid w:val="00AD530D"/>
    <w:rsid w:val="00AD5DCF"/>
    <w:rsid w:val="00AD6FFD"/>
    <w:rsid w:val="00AD721E"/>
    <w:rsid w:val="00AD742B"/>
    <w:rsid w:val="00AD7BDA"/>
    <w:rsid w:val="00AD7D39"/>
    <w:rsid w:val="00AE011D"/>
    <w:rsid w:val="00AE0C57"/>
    <w:rsid w:val="00AE18B3"/>
    <w:rsid w:val="00AE410B"/>
    <w:rsid w:val="00AE51EA"/>
    <w:rsid w:val="00AF07F6"/>
    <w:rsid w:val="00AF0D91"/>
    <w:rsid w:val="00AF17BB"/>
    <w:rsid w:val="00AF1ABE"/>
    <w:rsid w:val="00AF2330"/>
    <w:rsid w:val="00AF490A"/>
    <w:rsid w:val="00AF4AE1"/>
    <w:rsid w:val="00AF4CEA"/>
    <w:rsid w:val="00AF62CB"/>
    <w:rsid w:val="00B00028"/>
    <w:rsid w:val="00B00200"/>
    <w:rsid w:val="00B00A5C"/>
    <w:rsid w:val="00B01A38"/>
    <w:rsid w:val="00B03786"/>
    <w:rsid w:val="00B039AC"/>
    <w:rsid w:val="00B03BE3"/>
    <w:rsid w:val="00B0407D"/>
    <w:rsid w:val="00B04E0A"/>
    <w:rsid w:val="00B05B16"/>
    <w:rsid w:val="00B066E8"/>
    <w:rsid w:val="00B07788"/>
    <w:rsid w:val="00B07A2D"/>
    <w:rsid w:val="00B10109"/>
    <w:rsid w:val="00B11943"/>
    <w:rsid w:val="00B11A98"/>
    <w:rsid w:val="00B1285D"/>
    <w:rsid w:val="00B12FD5"/>
    <w:rsid w:val="00B1394E"/>
    <w:rsid w:val="00B13C9B"/>
    <w:rsid w:val="00B201E9"/>
    <w:rsid w:val="00B208FF"/>
    <w:rsid w:val="00B20B9E"/>
    <w:rsid w:val="00B21C31"/>
    <w:rsid w:val="00B22720"/>
    <w:rsid w:val="00B23428"/>
    <w:rsid w:val="00B23B92"/>
    <w:rsid w:val="00B23F0B"/>
    <w:rsid w:val="00B26CCF"/>
    <w:rsid w:val="00B31297"/>
    <w:rsid w:val="00B31F89"/>
    <w:rsid w:val="00B32B5E"/>
    <w:rsid w:val="00B32DDF"/>
    <w:rsid w:val="00B335F5"/>
    <w:rsid w:val="00B35304"/>
    <w:rsid w:val="00B364E1"/>
    <w:rsid w:val="00B36B2D"/>
    <w:rsid w:val="00B36B64"/>
    <w:rsid w:val="00B36E86"/>
    <w:rsid w:val="00B377D7"/>
    <w:rsid w:val="00B37853"/>
    <w:rsid w:val="00B451EF"/>
    <w:rsid w:val="00B454B1"/>
    <w:rsid w:val="00B459E2"/>
    <w:rsid w:val="00B47ADD"/>
    <w:rsid w:val="00B532B9"/>
    <w:rsid w:val="00B608A7"/>
    <w:rsid w:val="00B61856"/>
    <w:rsid w:val="00B61FA8"/>
    <w:rsid w:val="00B629AB"/>
    <w:rsid w:val="00B65B5F"/>
    <w:rsid w:val="00B6670E"/>
    <w:rsid w:val="00B66C90"/>
    <w:rsid w:val="00B7199C"/>
    <w:rsid w:val="00B7487B"/>
    <w:rsid w:val="00B74C97"/>
    <w:rsid w:val="00B80A0B"/>
    <w:rsid w:val="00B80AEF"/>
    <w:rsid w:val="00B80C10"/>
    <w:rsid w:val="00B81F71"/>
    <w:rsid w:val="00B821D2"/>
    <w:rsid w:val="00B83271"/>
    <w:rsid w:val="00B85722"/>
    <w:rsid w:val="00B85C4C"/>
    <w:rsid w:val="00B866F8"/>
    <w:rsid w:val="00B869AD"/>
    <w:rsid w:val="00B87004"/>
    <w:rsid w:val="00B903BA"/>
    <w:rsid w:val="00B922EB"/>
    <w:rsid w:val="00B92436"/>
    <w:rsid w:val="00B938C6"/>
    <w:rsid w:val="00B939B8"/>
    <w:rsid w:val="00B93D15"/>
    <w:rsid w:val="00B95129"/>
    <w:rsid w:val="00B958CE"/>
    <w:rsid w:val="00B959D6"/>
    <w:rsid w:val="00B95DB6"/>
    <w:rsid w:val="00B95DE6"/>
    <w:rsid w:val="00B95EB2"/>
    <w:rsid w:val="00B961C6"/>
    <w:rsid w:val="00B96CDA"/>
    <w:rsid w:val="00B96FBE"/>
    <w:rsid w:val="00B9784D"/>
    <w:rsid w:val="00BA028F"/>
    <w:rsid w:val="00BA0F0D"/>
    <w:rsid w:val="00BA159E"/>
    <w:rsid w:val="00BA19AC"/>
    <w:rsid w:val="00BA1EC0"/>
    <w:rsid w:val="00BA2C5B"/>
    <w:rsid w:val="00BA5692"/>
    <w:rsid w:val="00BA59AA"/>
    <w:rsid w:val="00BA606D"/>
    <w:rsid w:val="00BA73C9"/>
    <w:rsid w:val="00BA7493"/>
    <w:rsid w:val="00BA788F"/>
    <w:rsid w:val="00BA792C"/>
    <w:rsid w:val="00BB0EAA"/>
    <w:rsid w:val="00BB22EB"/>
    <w:rsid w:val="00BB2D94"/>
    <w:rsid w:val="00BB4E79"/>
    <w:rsid w:val="00BB4F9F"/>
    <w:rsid w:val="00BB5547"/>
    <w:rsid w:val="00BB55F4"/>
    <w:rsid w:val="00BB5EEE"/>
    <w:rsid w:val="00BB5F6C"/>
    <w:rsid w:val="00BB6852"/>
    <w:rsid w:val="00BC053A"/>
    <w:rsid w:val="00BC0A79"/>
    <w:rsid w:val="00BC2E81"/>
    <w:rsid w:val="00BC35E1"/>
    <w:rsid w:val="00BC646B"/>
    <w:rsid w:val="00BC67CC"/>
    <w:rsid w:val="00BC795C"/>
    <w:rsid w:val="00BD0081"/>
    <w:rsid w:val="00BD0365"/>
    <w:rsid w:val="00BD2EF7"/>
    <w:rsid w:val="00BD3D20"/>
    <w:rsid w:val="00BD3F70"/>
    <w:rsid w:val="00BD4487"/>
    <w:rsid w:val="00BD67D1"/>
    <w:rsid w:val="00BD7514"/>
    <w:rsid w:val="00BD7C45"/>
    <w:rsid w:val="00BD7C65"/>
    <w:rsid w:val="00BD7D87"/>
    <w:rsid w:val="00BE0239"/>
    <w:rsid w:val="00BE064E"/>
    <w:rsid w:val="00BE0FCB"/>
    <w:rsid w:val="00BE1FA7"/>
    <w:rsid w:val="00BE21B5"/>
    <w:rsid w:val="00BE3BEA"/>
    <w:rsid w:val="00BE4030"/>
    <w:rsid w:val="00BE4335"/>
    <w:rsid w:val="00BE44F7"/>
    <w:rsid w:val="00BE49EC"/>
    <w:rsid w:val="00BE5EFB"/>
    <w:rsid w:val="00BE63FD"/>
    <w:rsid w:val="00BE6D86"/>
    <w:rsid w:val="00BE743D"/>
    <w:rsid w:val="00BF075D"/>
    <w:rsid w:val="00BF181D"/>
    <w:rsid w:val="00BF18E1"/>
    <w:rsid w:val="00BF1C0B"/>
    <w:rsid w:val="00BF2365"/>
    <w:rsid w:val="00BF3782"/>
    <w:rsid w:val="00BF4BD3"/>
    <w:rsid w:val="00BF4F2B"/>
    <w:rsid w:val="00BF4FCE"/>
    <w:rsid w:val="00BF50A8"/>
    <w:rsid w:val="00BF5D47"/>
    <w:rsid w:val="00BF5E3E"/>
    <w:rsid w:val="00BF6A45"/>
    <w:rsid w:val="00C00418"/>
    <w:rsid w:val="00C00C8D"/>
    <w:rsid w:val="00C03F5F"/>
    <w:rsid w:val="00C05073"/>
    <w:rsid w:val="00C05264"/>
    <w:rsid w:val="00C05EA9"/>
    <w:rsid w:val="00C06F5C"/>
    <w:rsid w:val="00C076A7"/>
    <w:rsid w:val="00C07F46"/>
    <w:rsid w:val="00C100F1"/>
    <w:rsid w:val="00C114C9"/>
    <w:rsid w:val="00C12FAF"/>
    <w:rsid w:val="00C14777"/>
    <w:rsid w:val="00C147FB"/>
    <w:rsid w:val="00C15EBF"/>
    <w:rsid w:val="00C20A79"/>
    <w:rsid w:val="00C22349"/>
    <w:rsid w:val="00C22658"/>
    <w:rsid w:val="00C234D4"/>
    <w:rsid w:val="00C23A3A"/>
    <w:rsid w:val="00C23B2B"/>
    <w:rsid w:val="00C2530E"/>
    <w:rsid w:val="00C2584D"/>
    <w:rsid w:val="00C25BB0"/>
    <w:rsid w:val="00C2736B"/>
    <w:rsid w:val="00C2744A"/>
    <w:rsid w:val="00C31502"/>
    <w:rsid w:val="00C3150A"/>
    <w:rsid w:val="00C31A5A"/>
    <w:rsid w:val="00C3257F"/>
    <w:rsid w:val="00C340A0"/>
    <w:rsid w:val="00C34C8A"/>
    <w:rsid w:val="00C35613"/>
    <w:rsid w:val="00C35826"/>
    <w:rsid w:val="00C35C08"/>
    <w:rsid w:val="00C36A1A"/>
    <w:rsid w:val="00C42E71"/>
    <w:rsid w:val="00C43514"/>
    <w:rsid w:val="00C43802"/>
    <w:rsid w:val="00C43B5E"/>
    <w:rsid w:val="00C4444E"/>
    <w:rsid w:val="00C4450C"/>
    <w:rsid w:val="00C45AD6"/>
    <w:rsid w:val="00C46B47"/>
    <w:rsid w:val="00C47405"/>
    <w:rsid w:val="00C4750C"/>
    <w:rsid w:val="00C4754A"/>
    <w:rsid w:val="00C47B49"/>
    <w:rsid w:val="00C47BD5"/>
    <w:rsid w:val="00C51B7A"/>
    <w:rsid w:val="00C526D3"/>
    <w:rsid w:val="00C5303D"/>
    <w:rsid w:val="00C53BD1"/>
    <w:rsid w:val="00C54746"/>
    <w:rsid w:val="00C56146"/>
    <w:rsid w:val="00C57717"/>
    <w:rsid w:val="00C57EE3"/>
    <w:rsid w:val="00C6019D"/>
    <w:rsid w:val="00C62D40"/>
    <w:rsid w:val="00C6420A"/>
    <w:rsid w:val="00C64D0D"/>
    <w:rsid w:val="00C66A30"/>
    <w:rsid w:val="00C67240"/>
    <w:rsid w:val="00C70283"/>
    <w:rsid w:val="00C714E8"/>
    <w:rsid w:val="00C7158B"/>
    <w:rsid w:val="00C748C5"/>
    <w:rsid w:val="00C74DF6"/>
    <w:rsid w:val="00C75E66"/>
    <w:rsid w:val="00C76018"/>
    <w:rsid w:val="00C76298"/>
    <w:rsid w:val="00C7634E"/>
    <w:rsid w:val="00C76EC6"/>
    <w:rsid w:val="00C7714E"/>
    <w:rsid w:val="00C80846"/>
    <w:rsid w:val="00C828AF"/>
    <w:rsid w:val="00C8312A"/>
    <w:rsid w:val="00C8400F"/>
    <w:rsid w:val="00C85233"/>
    <w:rsid w:val="00C85745"/>
    <w:rsid w:val="00C86339"/>
    <w:rsid w:val="00C86E28"/>
    <w:rsid w:val="00C871CE"/>
    <w:rsid w:val="00C87508"/>
    <w:rsid w:val="00C923A9"/>
    <w:rsid w:val="00C9400C"/>
    <w:rsid w:val="00C94395"/>
    <w:rsid w:val="00C94D00"/>
    <w:rsid w:val="00C95583"/>
    <w:rsid w:val="00C96817"/>
    <w:rsid w:val="00C97295"/>
    <w:rsid w:val="00C97811"/>
    <w:rsid w:val="00CA08CB"/>
    <w:rsid w:val="00CA0C01"/>
    <w:rsid w:val="00CA2900"/>
    <w:rsid w:val="00CA446D"/>
    <w:rsid w:val="00CA56C4"/>
    <w:rsid w:val="00CA722F"/>
    <w:rsid w:val="00CA7510"/>
    <w:rsid w:val="00CA78E2"/>
    <w:rsid w:val="00CA79C5"/>
    <w:rsid w:val="00CB15E3"/>
    <w:rsid w:val="00CB1A5A"/>
    <w:rsid w:val="00CB488D"/>
    <w:rsid w:val="00CB5003"/>
    <w:rsid w:val="00CB562F"/>
    <w:rsid w:val="00CB57BE"/>
    <w:rsid w:val="00CB6D18"/>
    <w:rsid w:val="00CB71DE"/>
    <w:rsid w:val="00CB796E"/>
    <w:rsid w:val="00CC1566"/>
    <w:rsid w:val="00CC1960"/>
    <w:rsid w:val="00CC377A"/>
    <w:rsid w:val="00CC4CB9"/>
    <w:rsid w:val="00CC5C6A"/>
    <w:rsid w:val="00CC6A60"/>
    <w:rsid w:val="00CC74AD"/>
    <w:rsid w:val="00CC7799"/>
    <w:rsid w:val="00CC793E"/>
    <w:rsid w:val="00CD0554"/>
    <w:rsid w:val="00CD1269"/>
    <w:rsid w:val="00CD2756"/>
    <w:rsid w:val="00CD2D9F"/>
    <w:rsid w:val="00CD3F65"/>
    <w:rsid w:val="00CD4455"/>
    <w:rsid w:val="00CD4706"/>
    <w:rsid w:val="00CE0434"/>
    <w:rsid w:val="00CE0B2A"/>
    <w:rsid w:val="00CE0F86"/>
    <w:rsid w:val="00CE1114"/>
    <w:rsid w:val="00CE11FE"/>
    <w:rsid w:val="00CE2649"/>
    <w:rsid w:val="00CE355A"/>
    <w:rsid w:val="00CE3F66"/>
    <w:rsid w:val="00CE4FDF"/>
    <w:rsid w:val="00CE593A"/>
    <w:rsid w:val="00CE5AFB"/>
    <w:rsid w:val="00CE6DD8"/>
    <w:rsid w:val="00CE7D0D"/>
    <w:rsid w:val="00CF1B3A"/>
    <w:rsid w:val="00CF5BDF"/>
    <w:rsid w:val="00CF5EEA"/>
    <w:rsid w:val="00CF691B"/>
    <w:rsid w:val="00CF6B01"/>
    <w:rsid w:val="00CF7172"/>
    <w:rsid w:val="00CF7E59"/>
    <w:rsid w:val="00D0034C"/>
    <w:rsid w:val="00D004A2"/>
    <w:rsid w:val="00D0403E"/>
    <w:rsid w:val="00D04FD7"/>
    <w:rsid w:val="00D055D9"/>
    <w:rsid w:val="00D06D70"/>
    <w:rsid w:val="00D077F7"/>
    <w:rsid w:val="00D1001F"/>
    <w:rsid w:val="00D10381"/>
    <w:rsid w:val="00D10387"/>
    <w:rsid w:val="00D1139E"/>
    <w:rsid w:val="00D1269D"/>
    <w:rsid w:val="00D14433"/>
    <w:rsid w:val="00D153D5"/>
    <w:rsid w:val="00D16E14"/>
    <w:rsid w:val="00D16FF5"/>
    <w:rsid w:val="00D1718B"/>
    <w:rsid w:val="00D17544"/>
    <w:rsid w:val="00D21C0C"/>
    <w:rsid w:val="00D21C12"/>
    <w:rsid w:val="00D21FE8"/>
    <w:rsid w:val="00D22A5B"/>
    <w:rsid w:val="00D22BDF"/>
    <w:rsid w:val="00D23967"/>
    <w:rsid w:val="00D23CA8"/>
    <w:rsid w:val="00D242E8"/>
    <w:rsid w:val="00D24ED6"/>
    <w:rsid w:val="00D2522A"/>
    <w:rsid w:val="00D25FDE"/>
    <w:rsid w:val="00D271E3"/>
    <w:rsid w:val="00D2727A"/>
    <w:rsid w:val="00D27537"/>
    <w:rsid w:val="00D309A8"/>
    <w:rsid w:val="00D31810"/>
    <w:rsid w:val="00D328B0"/>
    <w:rsid w:val="00D32C39"/>
    <w:rsid w:val="00D33344"/>
    <w:rsid w:val="00D33502"/>
    <w:rsid w:val="00D33E20"/>
    <w:rsid w:val="00D34547"/>
    <w:rsid w:val="00D351C4"/>
    <w:rsid w:val="00D35DE0"/>
    <w:rsid w:val="00D36B21"/>
    <w:rsid w:val="00D3705F"/>
    <w:rsid w:val="00D37125"/>
    <w:rsid w:val="00D37754"/>
    <w:rsid w:val="00D40B85"/>
    <w:rsid w:val="00D41554"/>
    <w:rsid w:val="00D420D0"/>
    <w:rsid w:val="00D42A04"/>
    <w:rsid w:val="00D42B53"/>
    <w:rsid w:val="00D42DBB"/>
    <w:rsid w:val="00D43B2E"/>
    <w:rsid w:val="00D43DC0"/>
    <w:rsid w:val="00D444A7"/>
    <w:rsid w:val="00D44533"/>
    <w:rsid w:val="00D44709"/>
    <w:rsid w:val="00D45417"/>
    <w:rsid w:val="00D4573A"/>
    <w:rsid w:val="00D45A9E"/>
    <w:rsid w:val="00D463E4"/>
    <w:rsid w:val="00D46478"/>
    <w:rsid w:val="00D46E93"/>
    <w:rsid w:val="00D47765"/>
    <w:rsid w:val="00D47A4C"/>
    <w:rsid w:val="00D50834"/>
    <w:rsid w:val="00D50903"/>
    <w:rsid w:val="00D52DF5"/>
    <w:rsid w:val="00D536C6"/>
    <w:rsid w:val="00D53B6D"/>
    <w:rsid w:val="00D54324"/>
    <w:rsid w:val="00D54FAE"/>
    <w:rsid w:val="00D567A0"/>
    <w:rsid w:val="00D56F21"/>
    <w:rsid w:val="00D5711A"/>
    <w:rsid w:val="00D57D14"/>
    <w:rsid w:val="00D60548"/>
    <w:rsid w:val="00D611FC"/>
    <w:rsid w:val="00D61FFB"/>
    <w:rsid w:val="00D632BB"/>
    <w:rsid w:val="00D643F2"/>
    <w:rsid w:val="00D650B9"/>
    <w:rsid w:val="00D65795"/>
    <w:rsid w:val="00D67F89"/>
    <w:rsid w:val="00D7094D"/>
    <w:rsid w:val="00D70A05"/>
    <w:rsid w:val="00D70FA8"/>
    <w:rsid w:val="00D71A7F"/>
    <w:rsid w:val="00D71BBE"/>
    <w:rsid w:val="00D73255"/>
    <w:rsid w:val="00D73B5D"/>
    <w:rsid w:val="00D73BFE"/>
    <w:rsid w:val="00D73F9D"/>
    <w:rsid w:val="00D73FC4"/>
    <w:rsid w:val="00D7454B"/>
    <w:rsid w:val="00D752B5"/>
    <w:rsid w:val="00D75F28"/>
    <w:rsid w:val="00D76101"/>
    <w:rsid w:val="00D76188"/>
    <w:rsid w:val="00D762CA"/>
    <w:rsid w:val="00D8075B"/>
    <w:rsid w:val="00D80FAD"/>
    <w:rsid w:val="00D81C2B"/>
    <w:rsid w:val="00D8331D"/>
    <w:rsid w:val="00D8350B"/>
    <w:rsid w:val="00D8433F"/>
    <w:rsid w:val="00D849EF"/>
    <w:rsid w:val="00D84BCF"/>
    <w:rsid w:val="00D85C0E"/>
    <w:rsid w:val="00D87649"/>
    <w:rsid w:val="00D87656"/>
    <w:rsid w:val="00D90E7F"/>
    <w:rsid w:val="00D91027"/>
    <w:rsid w:val="00D916F4"/>
    <w:rsid w:val="00D91EF7"/>
    <w:rsid w:val="00D94489"/>
    <w:rsid w:val="00D9598D"/>
    <w:rsid w:val="00D964B2"/>
    <w:rsid w:val="00D9704F"/>
    <w:rsid w:val="00DA00D6"/>
    <w:rsid w:val="00DA0DF6"/>
    <w:rsid w:val="00DA13B0"/>
    <w:rsid w:val="00DA16DA"/>
    <w:rsid w:val="00DA1F4B"/>
    <w:rsid w:val="00DA3216"/>
    <w:rsid w:val="00DA3560"/>
    <w:rsid w:val="00DA3B35"/>
    <w:rsid w:val="00DA576A"/>
    <w:rsid w:val="00DA585A"/>
    <w:rsid w:val="00DA5B5C"/>
    <w:rsid w:val="00DA5C9E"/>
    <w:rsid w:val="00DA5E5E"/>
    <w:rsid w:val="00DA6450"/>
    <w:rsid w:val="00DA6869"/>
    <w:rsid w:val="00DA6ABB"/>
    <w:rsid w:val="00DA6B94"/>
    <w:rsid w:val="00DA6C94"/>
    <w:rsid w:val="00DA70BB"/>
    <w:rsid w:val="00DA7C9D"/>
    <w:rsid w:val="00DB01A2"/>
    <w:rsid w:val="00DB1B91"/>
    <w:rsid w:val="00DB2ADE"/>
    <w:rsid w:val="00DB2E71"/>
    <w:rsid w:val="00DB3088"/>
    <w:rsid w:val="00DB396D"/>
    <w:rsid w:val="00DB54BB"/>
    <w:rsid w:val="00DB5898"/>
    <w:rsid w:val="00DB75B2"/>
    <w:rsid w:val="00DB7643"/>
    <w:rsid w:val="00DB76DA"/>
    <w:rsid w:val="00DB782F"/>
    <w:rsid w:val="00DB7BF7"/>
    <w:rsid w:val="00DC06BB"/>
    <w:rsid w:val="00DC1933"/>
    <w:rsid w:val="00DC1CB3"/>
    <w:rsid w:val="00DC1DB8"/>
    <w:rsid w:val="00DC2813"/>
    <w:rsid w:val="00DC469F"/>
    <w:rsid w:val="00DC5D13"/>
    <w:rsid w:val="00DD16C4"/>
    <w:rsid w:val="00DD333B"/>
    <w:rsid w:val="00DD3A40"/>
    <w:rsid w:val="00DD6FA3"/>
    <w:rsid w:val="00DD71AE"/>
    <w:rsid w:val="00DE0005"/>
    <w:rsid w:val="00DE160E"/>
    <w:rsid w:val="00DE1A4B"/>
    <w:rsid w:val="00DE2375"/>
    <w:rsid w:val="00DE3811"/>
    <w:rsid w:val="00DE7A53"/>
    <w:rsid w:val="00DF02A1"/>
    <w:rsid w:val="00DF0E0F"/>
    <w:rsid w:val="00DF275F"/>
    <w:rsid w:val="00DF2A37"/>
    <w:rsid w:val="00DF2E45"/>
    <w:rsid w:val="00DF31AE"/>
    <w:rsid w:val="00DF3271"/>
    <w:rsid w:val="00DF44F7"/>
    <w:rsid w:val="00DF4622"/>
    <w:rsid w:val="00DF469A"/>
    <w:rsid w:val="00DF4D8C"/>
    <w:rsid w:val="00DF6AB6"/>
    <w:rsid w:val="00DF7E37"/>
    <w:rsid w:val="00E00467"/>
    <w:rsid w:val="00E016F3"/>
    <w:rsid w:val="00E0394E"/>
    <w:rsid w:val="00E05496"/>
    <w:rsid w:val="00E06A2C"/>
    <w:rsid w:val="00E0705E"/>
    <w:rsid w:val="00E0724F"/>
    <w:rsid w:val="00E07646"/>
    <w:rsid w:val="00E0783C"/>
    <w:rsid w:val="00E103D9"/>
    <w:rsid w:val="00E11806"/>
    <w:rsid w:val="00E12FFB"/>
    <w:rsid w:val="00E13777"/>
    <w:rsid w:val="00E139CD"/>
    <w:rsid w:val="00E141B5"/>
    <w:rsid w:val="00E14C0A"/>
    <w:rsid w:val="00E15B31"/>
    <w:rsid w:val="00E15D66"/>
    <w:rsid w:val="00E16AF3"/>
    <w:rsid w:val="00E172E8"/>
    <w:rsid w:val="00E17DA3"/>
    <w:rsid w:val="00E20723"/>
    <w:rsid w:val="00E216A2"/>
    <w:rsid w:val="00E21F04"/>
    <w:rsid w:val="00E21FBA"/>
    <w:rsid w:val="00E229C6"/>
    <w:rsid w:val="00E22EEC"/>
    <w:rsid w:val="00E236D7"/>
    <w:rsid w:val="00E23E2D"/>
    <w:rsid w:val="00E24091"/>
    <w:rsid w:val="00E26D5C"/>
    <w:rsid w:val="00E27156"/>
    <w:rsid w:val="00E27482"/>
    <w:rsid w:val="00E274EA"/>
    <w:rsid w:val="00E302C6"/>
    <w:rsid w:val="00E31C0A"/>
    <w:rsid w:val="00E34D25"/>
    <w:rsid w:val="00E35901"/>
    <w:rsid w:val="00E36043"/>
    <w:rsid w:val="00E36130"/>
    <w:rsid w:val="00E3631D"/>
    <w:rsid w:val="00E364B9"/>
    <w:rsid w:val="00E4140D"/>
    <w:rsid w:val="00E4588D"/>
    <w:rsid w:val="00E461BA"/>
    <w:rsid w:val="00E469E7"/>
    <w:rsid w:val="00E46F9C"/>
    <w:rsid w:val="00E47BC2"/>
    <w:rsid w:val="00E50175"/>
    <w:rsid w:val="00E50634"/>
    <w:rsid w:val="00E50D8D"/>
    <w:rsid w:val="00E51265"/>
    <w:rsid w:val="00E51F8B"/>
    <w:rsid w:val="00E52863"/>
    <w:rsid w:val="00E52FC9"/>
    <w:rsid w:val="00E53395"/>
    <w:rsid w:val="00E53FF0"/>
    <w:rsid w:val="00E5408D"/>
    <w:rsid w:val="00E54786"/>
    <w:rsid w:val="00E6347B"/>
    <w:rsid w:val="00E64266"/>
    <w:rsid w:val="00E6481D"/>
    <w:rsid w:val="00E648D4"/>
    <w:rsid w:val="00E65097"/>
    <w:rsid w:val="00E65255"/>
    <w:rsid w:val="00E658A0"/>
    <w:rsid w:val="00E66022"/>
    <w:rsid w:val="00E66729"/>
    <w:rsid w:val="00E6686D"/>
    <w:rsid w:val="00E676C9"/>
    <w:rsid w:val="00E706C0"/>
    <w:rsid w:val="00E71533"/>
    <w:rsid w:val="00E71C94"/>
    <w:rsid w:val="00E725E8"/>
    <w:rsid w:val="00E73AEE"/>
    <w:rsid w:val="00E751FE"/>
    <w:rsid w:val="00E76A0A"/>
    <w:rsid w:val="00E76A6A"/>
    <w:rsid w:val="00E76B35"/>
    <w:rsid w:val="00E778B9"/>
    <w:rsid w:val="00E80500"/>
    <w:rsid w:val="00E8135B"/>
    <w:rsid w:val="00E81506"/>
    <w:rsid w:val="00E8264A"/>
    <w:rsid w:val="00E82D3B"/>
    <w:rsid w:val="00E853A2"/>
    <w:rsid w:val="00E85A04"/>
    <w:rsid w:val="00E87E3A"/>
    <w:rsid w:val="00E87F90"/>
    <w:rsid w:val="00E9001F"/>
    <w:rsid w:val="00E9004B"/>
    <w:rsid w:val="00E93031"/>
    <w:rsid w:val="00E93FDC"/>
    <w:rsid w:val="00E94B10"/>
    <w:rsid w:val="00E951E6"/>
    <w:rsid w:val="00E963E4"/>
    <w:rsid w:val="00E963E6"/>
    <w:rsid w:val="00E96DCF"/>
    <w:rsid w:val="00E9741F"/>
    <w:rsid w:val="00E97879"/>
    <w:rsid w:val="00E97882"/>
    <w:rsid w:val="00E97E85"/>
    <w:rsid w:val="00E97E8E"/>
    <w:rsid w:val="00E97F63"/>
    <w:rsid w:val="00EA0B93"/>
    <w:rsid w:val="00EA14B1"/>
    <w:rsid w:val="00EA330C"/>
    <w:rsid w:val="00EA4C75"/>
    <w:rsid w:val="00EA6A58"/>
    <w:rsid w:val="00EA7131"/>
    <w:rsid w:val="00EB0354"/>
    <w:rsid w:val="00EB07E1"/>
    <w:rsid w:val="00EB0BCA"/>
    <w:rsid w:val="00EB1CD8"/>
    <w:rsid w:val="00EB1E60"/>
    <w:rsid w:val="00EB2B0B"/>
    <w:rsid w:val="00EB2BA2"/>
    <w:rsid w:val="00EB3A1D"/>
    <w:rsid w:val="00EB4620"/>
    <w:rsid w:val="00EB4D12"/>
    <w:rsid w:val="00EB5073"/>
    <w:rsid w:val="00EB5953"/>
    <w:rsid w:val="00EB659A"/>
    <w:rsid w:val="00EB6738"/>
    <w:rsid w:val="00EB789A"/>
    <w:rsid w:val="00EB7B63"/>
    <w:rsid w:val="00EB7DC0"/>
    <w:rsid w:val="00EC0A8D"/>
    <w:rsid w:val="00EC1912"/>
    <w:rsid w:val="00EC2034"/>
    <w:rsid w:val="00EC268B"/>
    <w:rsid w:val="00EC2F3A"/>
    <w:rsid w:val="00EC3174"/>
    <w:rsid w:val="00EC3932"/>
    <w:rsid w:val="00EC456E"/>
    <w:rsid w:val="00EC4AD0"/>
    <w:rsid w:val="00EC55A8"/>
    <w:rsid w:val="00EC7BB6"/>
    <w:rsid w:val="00EC7C55"/>
    <w:rsid w:val="00ED18B4"/>
    <w:rsid w:val="00ED1FA0"/>
    <w:rsid w:val="00ED236C"/>
    <w:rsid w:val="00ED2BFF"/>
    <w:rsid w:val="00ED3569"/>
    <w:rsid w:val="00ED3A4C"/>
    <w:rsid w:val="00ED3AF4"/>
    <w:rsid w:val="00ED4F09"/>
    <w:rsid w:val="00EE1E0D"/>
    <w:rsid w:val="00EE1ED5"/>
    <w:rsid w:val="00EE2C95"/>
    <w:rsid w:val="00EE2E49"/>
    <w:rsid w:val="00EE48BE"/>
    <w:rsid w:val="00EE530C"/>
    <w:rsid w:val="00EE5467"/>
    <w:rsid w:val="00EE5F0B"/>
    <w:rsid w:val="00EE6120"/>
    <w:rsid w:val="00EE61D7"/>
    <w:rsid w:val="00EF0857"/>
    <w:rsid w:val="00EF0A4B"/>
    <w:rsid w:val="00EF0BAB"/>
    <w:rsid w:val="00EF0CD1"/>
    <w:rsid w:val="00EF27EC"/>
    <w:rsid w:val="00EF2C10"/>
    <w:rsid w:val="00EF2F05"/>
    <w:rsid w:val="00EF57B7"/>
    <w:rsid w:val="00EF6868"/>
    <w:rsid w:val="00F00DB3"/>
    <w:rsid w:val="00F00FFC"/>
    <w:rsid w:val="00F026A9"/>
    <w:rsid w:val="00F03D5D"/>
    <w:rsid w:val="00F04A62"/>
    <w:rsid w:val="00F04F7F"/>
    <w:rsid w:val="00F060D6"/>
    <w:rsid w:val="00F06714"/>
    <w:rsid w:val="00F07066"/>
    <w:rsid w:val="00F10C27"/>
    <w:rsid w:val="00F10FD1"/>
    <w:rsid w:val="00F11A0A"/>
    <w:rsid w:val="00F11CCA"/>
    <w:rsid w:val="00F15908"/>
    <w:rsid w:val="00F15A89"/>
    <w:rsid w:val="00F16031"/>
    <w:rsid w:val="00F16769"/>
    <w:rsid w:val="00F17CC7"/>
    <w:rsid w:val="00F20423"/>
    <w:rsid w:val="00F20496"/>
    <w:rsid w:val="00F2051A"/>
    <w:rsid w:val="00F208A6"/>
    <w:rsid w:val="00F21ED3"/>
    <w:rsid w:val="00F21F1E"/>
    <w:rsid w:val="00F22189"/>
    <w:rsid w:val="00F22BEB"/>
    <w:rsid w:val="00F22F3D"/>
    <w:rsid w:val="00F23C80"/>
    <w:rsid w:val="00F24E0D"/>
    <w:rsid w:val="00F24E3F"/>
    <w:rsid w:val="00F25327"/>
    <w:rsid w:val="00F25442"/>
    <w:rsid w:val="00F27738"/>
    <w:rsid w:val="00F3125C"/>
    <w:rsid w:val="00F3231B"/>
    <w:rsid w:val="00F32986"/>
    <w:rsid w:val="00F32D3E"/>
    <w:rsid w:val="00F3312E"/>
    <w:rsid w:val="00F337F3"/>
    <w:rsid w:val="00F34A4C"/>
    <w:rsid w:val="00F35708"/>
    <w:rsid w:val="00F362EA"/>
    <w:rsid w:val="00F3642B"/>
    <w:rsid w:val="00F36E5A"/>
    <w:rsid w:val="00F405CD"/>
    <w:rsid w:val="00F40F8E"/>
    <w:rsid w:val="00F411D4"/>
    <w:rsid w:val="00F4223A"/>
    <w:rsid w:val="00F436B4"/>
    <w:rsid w:val="00F43F63"/>
    <w:rsid w:val="00F4624F"/>
    <w:rsid w:val="00F468FC"/>
    <w:rsid w:val="00F46CCB"/>
    <w:rsid w:val="00F527C3"/>
    <w:rsid w:val="00F53C20"/>
    <w:rsid w:val="00F5410E"/>
    <w:rsid w:val="00F541A2"/>
    <w:rsid w:val="00F545BA"/>
    <w:rsid w:val="00F55502"/>
    <w:rsid w:val="00F5788F"/>
    <w:rsid w:val="00F602C4"/>
    <w:rsid w:val="00F60AD9"/>
    <w:rsid w:val="00F63E13"/>
    <w:rsid w:val="00F64085"/>
    <w:rsid w:val="00F66D25"/>
    <w:rsid w:val="00F7104E"/>
    <w:rsid w:val="00F71B31"/>
    <w:rsid w:val="00F72DE8"/>
    <w:rsid w:val="00F73635"/>
    <w:rsid w:val="00F76CD8"/>
    <w:rsid w:val="00F77B86"/>
    <w:rsid w:val="00F80619"/>
    <w:rsid w:val="00F8150A"/>
    <w:rsid w:val="00F81510"/>
    <w:rsid w:val="00F8195F"/>
    <w:rsid w:val="00F8341D"/>
    <w:rsid w:val="00F8404F"/>
    <w:rsid w:val="00F85318"/>
    <w:rsid w:val="00F85D86"/>
    <w:rsid w:val="00F85DD3"/>
    <w:rsid w:val="00F879E8"/>
    <w:rsid w:val="00F9129B"/>
    <w:rsid w:val="00F914D0"/>
    <w:rsid w:val="00F91566"/>
    <w:rsid w:val="00F91D1F"/>
    <w:rsid w:val="00F92DB9"/>
    <w:rsid w:val="00F93153"/>
    <w:rsid w:val="00F9359E"/>
    <w:rsid w:val="00F94193"/>
    <w:rsid w:val="00F94297"/>
    <w:rsid w:val="00F943C2"/>
    <w:rsid w:val="00F94BC2"/>
    <w:rsid w:val="00F95146"/>
    <w:rsid w:val="00F95591"/>
    <w:rsid w:val="00F95F9E"/>
    <w:rsid w:val="00F96A89"/>
    <w:rsid w:val="00F96CB7"/>
    <w:rsid w:val="00F96D0C"/>
    <w:rsid w:val="00FA05BC"/>
    <w:rsid w:val="00FA0A33"/>
    <w:rsid w:val="00FA0B5C"/>
    <w:rsid w:val="00FA0C13"/>
    <w:rsid w:val="00FA13D8"/>
    <w:rsid w:val="00FA2C53"/>
    <w:rsid w:val="00FA3231"/>
    <w:rsid w:val="00FA49BA"/>
    <w:rsid w:val="00FA4F9B"/>
    <w:rsid w:val="00FA5066"/>
    <w:rsid w:val="00FA5970"/>
    <w:rsid w:val="00FA61DF"/>
    <w:rsid w:val="00FA62FF"/>
    <w:rsid w:val="00FA6DF7"/>
    <w:rsid w:val="00FB028C"/>
    <w:rsid w:val="00FB1639"/>
    <w:rsid w:val="00FB170A"/>
    <w:rsid w:val="00FB274C"/>
    <w:rsid w:val="00FB2854"/>
    <w:rsid w:val="00FB3477"/>
    <w:rsid w:val="00FB3AAA"/>
    <w:rsid w:val="00FB419B"/>
    <w:rsid w:val="00FB43BC"/>
    <w:rsid w:val="00FB497D"/>
    <w:rsid w:val="00FB602E"/>
    <w:rsid w:val="00FB6102"/>
    <w:rsid w:val="00FB6A05"/>
    <w:rsid w:val="00FB7745"/>
    <w:rsid w:val="00FC08AE"/>
    <w:rsid w:val="00FC2831"/>
    <w:rsid w:val="00FC2FFB"/>
    <w:rsid w:val="00FC363E"/>
    <w:rsid w:val="00FC3DE2"/>
    <w:rsid w:val="00FC4A27"/>
    <w:rsid w:val="00FC503D"/>
    <w:rsid w:val="00FC5854"/>
    <w:rsid w:val="00FC5E7E"/>
    <w:rsid w:val="00FC5EE8"/>
    <w:rsid w:val="00FC6EF6"/>
    <w:rsid w:val="00FC7F5E"/>
    <w:rsid w:val="00FD0D20"/>
    <w:rsid w:val="00FD1571"/>
    <w:rsid w:val="00FD2555"/>
    <w:rsid w:val="00FD2BEC"/>
    <w:rsid w:val="00FD3674"/>
    <w:rsid w:val="00FD374B"/>
    <w:rsid w:val="00FD3A90"/>
    <w:rsid w:val="00FD421F"/>
    <w:rsid w:val="00FD4384"/>
    <w:rsid w:val="00FD4FC8"/>
    <w:rsid w:val="00FD4FF7"/>
    <w:rsid w:val="00FD5373"/>
    <w:rsid w:val="00FD5B14"/>
    <w:rsid w:val="00FD6557"/>
    <w:rsid w:val="00FD69DA"/>
    <w:rsid w:val="00FD6B56"/>
    <w:rsid w:val="00FD71F4"/>
    <w:rsid w:val="00FE22A9"/>
    <w:rsid w:val="00FE38B5"/>
    <w:rsid w:val="00FE4732"/>
    <w:rsid w:val="00FE4B3E"/>
    <w:rsid w:val="00FE4CF2"/>
    <w:rsid w:val="00FE66A6"/>
    <w:rsid w:val="00FE6993"/>
    <w:rsid w:val="00FE6ABA"/>
    <w:rsid w:val="00FE752D"/>
    <w:rsid w:val="00FE7764"/>
    <w:rsid w:val="00FF0FB9"/>
    <w:rsid w:val="00FF12A2"/>
    <w:rsid w:val="00FF15C9"/>
    <w:rsid w:val="00FF187D"/>
    <w:rsid w:val="00FF1FD7"/>
    <w:rsid w:val="00FF2B1C"/>
    <w:rsid w:val="00FF38E6"/>
    <w:rsid w:val="00FF3E53"/>
    <w:rsid w:val="00FF4806"/>
    <w:rsid w:val="00FF589B"/>
    <w:rsid w:val="00FF5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3E2E14"/>
  <w15:docId w15:val="{5CD1A23C-518F-472F-A144-A1A87D97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BA9"/>
    <w:pPr>
      <w:spacing w:before="120" w:after="120"/>
      <w:jc w:val="both"/>
    </w:pPr>
    <w:rPr>
      <w:rFonts w:ascii="Arial" w:hAnsi="Arial"/>
      <w:sz w:val="22"/>
      <w:szCs w:val="22"/>
      <w:lang w:eastAsia="en-US"/>
    </w:rPr>
  </w:style>
  <w:style w:type="paragraph" w:styleId="Heading1">
    <w:name w:val="heading 1"/>
    <w:basedOn w:val="Normal"/>
    <w:next w:val="Normal"/>
    <w:link w:val="Heading1Char"/>
    <w:qFormat/>
    <w:rsid w:val="0039221D"/>
    <w:pPr>
      <w:keepNext/>
      <w:spacing w:before="360" w:after="60" w:line="360" w:lineRule="auto"/>
      <w:jc w:val="center"/>
      <w:outlineLvl w:val="0"/>
    </w:pPr>
    <w:rPr>
      <w:rFonts w:eastAsia="Times New Roman"/>
      <w:b/>
      <w:bCs/>
      <w:kern w:val="32"/>
      <w:szCs w:val="32"/>
      <w:u w:val="single"/>
      <w:lang w:val="x-none"/>
    </w:rPr>
  </w:style>
  <w:style w:type="paragraph" w:styleId="Heading2">
    <w:name w:val="heading 2"/>
    <w:basedOn w:val="Normal"/>
    <w:next w:val="Text1"/>
    <w:link w:val="Heading2Char"/>
    <w:qFormat/>
    <w:rsid w:val="001D4AA7"/>
    <w:pPr>
      <w:keepNext/>
      <w:tabs>
        <w:tab w:val="num" w:pos="850"/>
      </w:tabs>
      <w:spacing w:before="240" w:line="360" w:lineRule="auto"/>
      <w:ind w:left="851" w:hanging="851"/>
      <w:outlineLvl w:val="1"/>
    </w:pPr>
    <w:rPr>
      <w:rFonts w:eastAsia="Times New Roman"/>
      <w:b/>
      <w:bCs/>
      <w:iCs/>
      <w:szCs w:val="28"/>
      <w:lang w:val="x-none"/>
    </w:rPr>
  </w:style>
  <w:style w:type="paragraph" w:styleId="Heading3">
    <w:name w:val="heading 3"/>
    <w:basedOn w:val="Normal"/>
    <w:next w:val="Text1"/>
    <w:link w:val="Heading3Char"/>
    <w:qFormat/>
    <w:rsid w:val="00DA5C9E"/>
    <w:pPr>
      <w:keepNext/>
      <w:tabs>
        <w:tab w:val="num" w:pos="850"/>
      </w:tabs>
      <w:ind w:left="850" w:hanging="850"/>
      <w:outlineLvl w:val="2"/>
    </w:pPr>
    <w:rPr>
      <w:rFonts w:ascii="Times New Roman" w:eastAsia="Times New Roman" w:hAnsi="Times New Roman"/>
      <w:bCs/>
      <w:i/>
      <w:sz w:val="24"/>
      <w:szCs w:val="26"/>
      <w:lang w:val="x-none"/>
    </w:rPr>
  </w:style>
  <w:style w:type="paragraph" w:styleId="Heading4">
    <w:name w:val="heading 4"/>
    <w:basedOn w:val="Normal"/>
    <w:next w:val="Text1"/>
    <w:link w:val="Heading4Char"/>
    <w:qFormat/>
    <w:rsid w:val="00DA5C9E"/>
    <w:pPr>
      <w:keepNext/>
      <w:tabs>
        <w:tab w:val="num" w:pos="850"/>
      </w:tabs>
      <w:ind w:left="850" w:hanging="850"/>
      <w:outlineLvl w:val="3"/>
    </w:pPr>
    <w:rPr>
      <w:rFonts w:ascii="Times New Roman" w:eastAsia="Times New Roman" w:hAnsi="Times New Roman"/>
      <w:bCs/>
      <w:sz w:val="24"/>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0246D"/>
    <w:rPr>
      <w:sz w:val="16"/>
      <w:szCs w:val="16"/>
    </w:rPr>
  </w:style>
  <w:style w:type="paragraph" w:styleId="CommentText">
    <w:name w:val="annotation text"/>
    <w:basedOn w:val="Normal"/>
    <w:link w:val="CommentTextChar"/>
    <w:uiPriority w:val="99"/>
    <w:rsid w:val="0040246D"/>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40246D"/>
    <w:rPr>
      <w:rFonts w:ascii="Times New Roman" w:eastAsia="Times New Roman" w:hAnsi="Times New Roman"/>
    </w:rPr>
  </w:style>
  <w:style w:type="paragraph" w:styleId="FootnoteText">
    <w:name w:val="footnote text"/>
    <w:basedOn w:val="Normal"/>
    <w:link w:val="FootnoteTextChar"/>
    <w:unhideWhenUsed/>
    <w:rsid w:val="0040246D"/>
    <w:rPr>
      <w:sz w:val="20"/>
      <w:szCs w:val="20"/>
      <w:lang w:val="x-none"/>
    </w:rPr>
  </w:style>
  <w:style w:type="character" w:customStyle="1" w:styleId="FootnoteTextChar">
    <w:name w:val="Footnote Text Char"/>
    <w:link w:val="FootnoteText"/>
    <w:rsid w:val="0040246D"/>
    <w:rPr>
      <w:lang w:eastAsia="en-US"/>
    </w:rPr>
  </w:style>
  <w:style w:type="character" w:styleId="FootnoteReference">
    <w:name w:val="footnote reference"/>
    <w:aliases w:val="Footnote symbol,Footnote,BVI fnr,(Footnote Reference),SUPERS,Times 10 Point,Exposant 3 Point,Voetnootverwijzing,Footnote reference number,note TESI,Footnote Reference Superscript"/>
    <w:rsid w:val="0040246D"/>
    <w:rPr>
      <w:vertAlign w:val="superscript"/>
    </w:rPr>
  </w:style>
  <w:style w:type="character" w:styleId="Emphasis">
    <w:name w:val="Emphasis"/>
    <w:qFormat/>
    <w:rsid w:val="0040246D"/>
    <w:rPr>
      <w:i/>
      <w:iCs/>
    </w:rPr>
  </w:style>
  <w:style w:type="paragraph" w:customStyle="1" w:styleId="Point0number">
    <w:name w:val="Point 0 (number)"/>
    <w:basedOn w:val="Normal"/>
    <w:rsid w:val="00897566"/>
    <w:pPr>
      <w:numPr>
        <w:numId w:val="1"/>
      </w:numPr>
    </w:pPr>
    <w:rPr>
      <w:rFonts w:ascii="Times New Roman" w:eastAsia="Times New Roman" w:hAnsi="Times New Roman"/>
      <w:sz w:val="24"/>
      <w:szCs w:val="24"/>
    </w:rPr>
  </w:style>
  <w:style w:type="paragraph" w:customStyle="1" w:styleId="Point1number">
    <w:name w:val="Point 1 (number)"/>
    <w:basedOn w:val="Normal"/>
    <w:rsid w:val="00897566"/>
    <w:pPr>
      <w:numPr>
        <w:ilvl w:val="2"/>
        <w:numId w:val="1"/>
      </w:numPr>
    </w:pPr>
    <w:rPr>
      <w:rFonts w:ascii="Times New Roman" w:eastAsia="Times New Roman" w:hAnsi="Times New Roman"/>
      <w:sz w:val="24"/>
      <w:szCs w:val="24"/>
    </w:rPr>
  </w:style>
  <w:style w:type="paragraph" w:customStyle="1" w:styleId="Point2number">
    <w:name w:val="Point 2 (number)"/>
    <w:basedOn w:val="Normal"/>
    <w:rsid w:val="00897566"/>
    <w:pPr>
      <w:numPr>
        <w:ilvl w:val="4"/>
        <w:numId w:val="1"/>
      </w:numPr>
    </w:pPr>
    <w:rPr>
      <w:rFonts w:ascii="Times New Roman" w:eastAsia="Times New Roman" w:hAnsi="Times New Roman"/>
      <w:sz w:val="24"/>
      <w:szCs w:val="24"/>
    </w:rPr>
  </w:style>
  <w:style w:type="paragraph" w:customStyle="1" w:styleId="Point3number">
    <w:name w:val="Point 3 (number)"/>
    <w:basedOn w:val="Normal"/>
    <w:rsid w:val="00897566"/>
    <w:pPr>
      <w:numPr>
        <w:ilvl w:val="6"/>
        <w:numId w:val="1"/>
      </w:numPr>
    </w:pPr>
    <w:rPr>
      <w:rFonts w:ascii="Times New Roman" w:eastAsia="Times New Roman" w:hAnsi="Times New Roman"/>
      <w:sz w:val="24"/>
      <w:szCs w:val="24"/>
    </w:rPr>
  </w:style>
  <w:style w:type="paragraph" w:customStyle="1" w:styleId="Point0letter">
    <w:name w:val="Point 0 (letter)"/>
    <w:basedOn w:val="Normal"/>
    <w:rsid w:val="00897566"/>
    <w:pPr>
      <w:numPr>
        <w:ilvl w:val="1"/>
        <w:numId w:val="1"/>
      </w:numPr>
    </w:pPr>
    <w:rPr>
      <w:rFonts w:ascii="Times New Roman" w:eastAsia="Times New Roman" w:hAnsi="Times New Roman"/>
      <w:sz w:val="24"/>
      <w:szCs w:val="24"/>
    </w:rPr>
  </w:style>
  <w:style w:type="paragraph" w:customStyle="1" w:styleId="Point1letter">
    <w:name w:val="Point 1 (letter)"/>
    <w:basedOn w:val="Normal"/>
    <w:rsid w:val="00897566"/>
    <w:pPr>
      <w:numPr>
        <w:ilvl w:val="3"/>
        <w:numId w:val="1"/>
      </w:numPr>
    </w:pPr>
    <w:rPr>
      <w:rFonts w:ascii="Times New Roman" w:eastAsia="Times New Roman" w:hAnsi="Times New Roman"/>
      <w:sz w:val="24"/>
      <w:szCs w:val="24"/>
    </w:rPr>
  </w:style>
  <w:style w:type="paragraph" w:customStyle="1" w:styleId="Point2letter">
    <w:name w:val="Point 2 (letter)"/>
    <w:basedOn w:val="Normal"/>
    <w:rsid w:val="00897566"/>
    <w:pPr>
      <w:numPr>
        <w:ilvl w:val="5"/>
        <w:numId w:val="1"/>
      </w:numPr>
    </w:pPr>
    <w:rPr>
      <w:rFonts w:ascii="Times New Roman" w:eastAsia="Times New Roman" w:hAnsi="Times New Roman"/>
      <w:sz w:val="24"/>
      <w:szCs w:val="24"/>
    </w:rPr>
  </w:style>
  <w:style w:type="paragraph" w:customStyle="1" w:styleId="Point3letter">
    <w:name w:val="Point 3 (letter)"/>
    <w:basedOn w:val="Normal"/>
    <w:rsid w:val="00897566"/>
    <w:pPr>
      <w:numPr>
        <w:ilvl w:val="7"/>
        <w:numId w:val="1"/>
      </w:numPr>
    </w:pPr>
    <w:rPr>
      <w:rFonts w:ascii="Times New Roman" w:eastAsia="Times New Roman" w:hAnsi="Times New Roman"/>
      <w:sz w:val="24"/>
      <w:szCs w:val="24"/>
    </w:rPr>
  </w:style>
  <w:style w:type="paragraph" w:customStyle="1" w:styleId="Point4letter">
    <w:name w:val="Point 4 (letter)"/>
    <w:basedOn w:val="Normal"/>
    <w:rsid w:val="00897566"/>
    <w:pPr>
      <w:numPr>
        <w:ilvl w:val="8"/>
        <w:numId w:val="1"/>
      </w:numPr>
    </w:pPr>
    <w:rPr>
      <w:rFonts w:ascii="Times New Roman" w:eastAsia="Times New Roman" w:hAnsi="Times New Roman"/>
      <w:sz w:val="24"/>
      <w:szCs w:val="24"/>
    </w:rPr>
  </w:style>
  <w:style w:type="paragraph" w:customStyle="1" w:styleId="Tiret0">
    <w:name w:val="Tiret 0"/>
    <w:basedOn w:val="Normal"/>
    <w:rsid w:val="00EA6A58"/>
    <w:pPr>
      <w:numPr>
        <w:numId w:val="2"/>
      </w:numPr>
    </w:pPr>
    <w:rPr>
      <w:rFonts w:ascii="Times New Roman" w:eastAsia="Times New Roman" w:hAnsi="Times New Roman"/>
      <w:sz w:val="24"/>
      <w:szCs w:val="24"/>
    </w:rPr>
  </w:style>
  <w:style w:type="paragraph" w:customStyle="1" w:styleId="NumPar1">
    <w:name w:val="NumPar 1"/>
    <w:basedOn w:val="Normal"/>
    <w:rsid w:val="00EA6A58"/>
    <w:pPr>
      <w:tabs>
        <w:tab w:val="num" w:pos="850"/>
      </w:tabs>
      <w:ind w:left="850" w:hanging="850"/>
    </w:pPr>
    <w:rPr>
      <w:rFonts w:ascii="Times New Roman" w:eastAsia="Times New Roman" w:hAnsi="Times New Roman"/>
      <w:sz w:val="24"/>
      <w:szCs w:val="24"/>
    </w:rPr>
  </w:style>
  <w:style w:type="paragraph" w:customStyle="1" w:styleId="NumPar2">
    <w:name w:val="NumPar 2"/>
    <w:basedOn w:val="Normal"/>
    <w:next w:val="Normal"/>
    <w:rsid w:val="00EA6A58"/>
    <w:pPr>
      <w:tabs>
        <w:tab w:val="num" w:pos="850"/>
      </w:tabs>
      <w:ind w:left="850" w:hanging="850"/>
    </w:pPr>
    <w:rPr>
      <w:rFonts w:ascii="Times New Roman" w:eastAsia="Times New Roman" w:hAnsi="Times New Roman"/>
      <w:sz w:val="24"/>
      <w:szCs w:val="24"/>
    </w:rPr>
  </w:style>
  <w:style w:type="paragraph" w:customStyle="1" w:styleId="NumPar3">
    <w:name w:val="NumPar 3"/>
    <w:basedOn w:val="Normal"/>
    <w:next w:val="Normal"/>
    <w:rsid w:val="00EA6A58"/>
    <w:pPr>
      <w:tabs>
        <w:tab w:val="num" w:pos="850"/>
      </w:tabs>
      <w:ind w:left="850" w:hanging="850"/>
    </w:pPr>
    <w:rPr>
      <w:rFonts w:ascii="Times New Roman" w:eastAsia="Times New Roman" w:hAnsi="Times New Roman"/>
      <w:sz w:val="24"/>
      <w:szCs w:val="24"/>
    </w:rPr>
  </w:style>
  <w:style w:type="paragraph" w:customStyle="1" w:styleId="NumPar4">
    <w:name w:val="NumPar 4"/>
    <w:basedOn w:val="Normal"/>
    <w:next w:val="Normal"/>
    <w:rsid w:val="00EA6A58"/>
    <w:pPr>
      <w:tabs>
        <w:tab w:val="num" w:pos="850"/>
      </w:tabs>
      <w:ind w:left="850" w:hanging="850"/>
    </w:pPr>
    <w:rPr>
      <w:rFonts w:ascii="Times New Roman" w:eastAsia="Times New Roman" w:hAnsi="Times New Roman"/>
      <w:sz w:val="24"/>
      <w:szCs w:val="24"/>
    </w:rPr>
  </w:style>
  <w:style w:type="paragraph" w:customStyle="1" w:styleId="Titrearticle">
    <w:name w:val="Titre article"/>
    <w:basedOn w:val="Normal"/>
    <w:next w:val="Normal"/>
    <w:rsid w:val="0098779C"/>
    <w:pPr>
      <w:keepNext/>
      <w:spacing w:before="360"/>
      <w:jc w:val="center"/>
    </w:pPr>
    <w:rPr>
      <w:rFonts w:ascii="Times New Roman" w:eastAsia="Times New Roman" w:hAnsi="Times New Roman"/>
      <w:i/>
      <w:sz w:val="24"/>
      <w:szCs w:val="24"/>
    </w:rPr>
  </w:style>
  <w:style w:type="paragraph" w:customStyle="1" w:styleId="ChapterTitle">
    <w:name w:val="ChapterTitle"/>
    <w:basedOn w:val="Normal"/>
    <w:next w:val="Normal"/>
    <w:rsid w:val="0098779C"/>
    <w:pPr>
      <w:keepNext/>
      <w:spacing w:after="360"/>
      <w:jc w:val="center"/>
    </w:pPr>
    <w:rPr>
      <w:rFonts w:ascii="Times New Roman" w:eastAsia="Times New Roman" w:hAnsi="Times New Roman"/>
      <w:b/>
      <w:sz w:val="32"/>
      <w:szCs w:val="24"/>
    </w:rPr>
  </w:style>
  <w:style w:type="paragraph" w:customStyle="1" w:styleId="PartTitle">
    <w:name w:val="PartTitle"/>
    <w:basedOn w:val="Normal"/>
    <w:next w:val="ChapterTitle"/>
    <w:rsid w:val="0099160A"/>
    <w:pPr>
      <w:keepNext/>
      <w:pageBreakBefore/>
      <w:spacing w:after="360"/>
      <w:jc w:val="center"/>
    </w:pPr>
    <w:rPr>
      <w:rFonts w:ascii="Times New Roman" w:eastAsia="Times New Roman" w:hAnsi="Times New Roman"/>
      <w:b/>
      <w:sz w:val="36"/>
      <w:szCs w:val="24"/>
    </w:rPr>
  </w:style>
  <w:style w:type="paragraph" w:customStyle="1" w:styleId="SectionTitle">
    <w:name w:val="SectionTitle"/>
    <w:basedOn w:val="Normal"/>
    <w:next w:val="Heading1"/>
    <w:rsid w:val="004E0C40"/>
    <w:pPr>
      <w:keepNext/>
      <w:spacing w:after="360"/>
      <w:jc w:val="center"/>
    </w:pPr>
    <w:rPr>
      <w:rFonts w:ascii="Times New Roman" w:eastAsia="Times New Roman" w:hAnsi="Times New Roman"/>
      <w:b/>
      <w:smallCaps/>
      <w:sz w:val="28"/>
      <w:szCs w:val="24"/>
    </w:rPr>
  </w:style>
  <w:style w:type="character" w:customStyle="1" w:styleId="Heading1Char">
    <w:name w:val="Heading 1 Char"/>
    <w:link w:val="Heading1"/>
    <w:rsid w:val="0039221D"/>
    <w:rPr>
      <w:rFonts w:ascii="Arial" w:eastAsia="Times New Roman" w:hAnsi="Arial"/>
      <w:b/>
      <w:bCs/>
      <w:kern w:val="32"/>
      <w:sz w:val="22"/>
      <w:szCs w:val="32"/>
      <w:u w:val="single"/>
      <w:lang w:val="x-none" w:eastAsia="en-US"/>
    </w:rPr>
  </w:style>
  <w:style w:type="paragraph" w:styleId="Header">
    <w:name w:val="header"/>
    <w:basedOn w:val="Normal"/>
    <w:link w:val="HeaderChar"/>
    <w:uiPriority w:val="99"/>
    <w:unhideWhenUsed/>
    <w:rsid w:val="00881FBB"/>
    <w:pPr>
      <w:tabs>
        <w:tab w:val="center" w:pos="4513"/>
        <w:tab w:val="right" w:pos="9026"/>
      </w:tabs>
    </w:pPr>
    <w:rPr>
      <w:lang w:val="x-none"/>
    </w:rPr>
  </w:style>
  <w:style w:type="character" w:customStyle="1" w:styleId="HeaderChar">
    <w:name w:val="Header Char"/>
    <w:link w:val="Header"/>
    <w:uiPriority w:val="99"/>
    <w:rsid w:val="00881FBB"/>
    <w:rPr>
      <w:sz w:val="22"/>
      <w:szCs w:val="22"/>
      <w:lang w:eastAsia="en-US"/>
    </w:rPr>
  </w:style>
  <w:style w:type="paragraph" w:styleId="Footer">
    <w:name w:val="footer"/>
    <w:basedOn w:val="Normal"/>
    <w:link w:val="FooterChar"/>
    <w:uiPriority w:val="99"/>
    <w:unhideWhenUsed/>
    <w:rsid w:val="00881FBB"/>
    <w:pPr>
      <w:tabs>
        <w:tab w:val="center" w:pos="4513"/>
        <w:tab w:val="right" w:pos="9026"/>
      </w:tabs>
    </w:pPr>
    <w:rPr>
      <w:lang w:val="x-none"/>
    </w:rPr>
  </w:style>
  <w:style w:type="character" w:customStyle="1" w:styleId="FooterChar">
    <w:name w:val="Footer Char"/>
    <w:link w:val="Footer"/>
    <w:uiPriority w:val="99"/>
    <w:rsid w:val="00881FBB"/>
    <w:rPr>
      <w:sz w:val="22"/>
      <w:szCs w:val="22"/>
      <w:lang w:eastAsia="en-US"/>
    </w:rPr>
  </w:style>
  <w:style w:type="character" w:customStyle="1" w:styleId="ManualNumPar1CharChar">
    <w:name w:val="Manual NumPar 1 Char Char"/>
    <w:link w:val="ManualNumPar1Char"/>
    <w:locked/>
    <w:rsid w:val="006F40F6"/>
    <w:rPr>
      <w:sz w:val="24"/>
      <w:szCs w:val="24"/>
      <w:lang w:eastAsia="en-US"/>
    </w:rPr>
  </w:style>
  <w:style w:type="paragraph" w:customStyle="1" w:styleId="ManualNumPar1Char">
    <w:name w:val="Manual NumPar 1 Char"/>
    <w:basedOn w:val="Normal"/>
    <w:next w:val="Normal"/>
    <w:link w:val="ManualNumPar1CharChar"/>
    <w:rsid w:val="006F40F6"/>
    <w:pPr>
      <w:spacing w:line="360" w:lineRule="auto"/>
      <w:ind w:left="850" w:hanging="850"/>
    </w:pPr>
    <w:rPr>
      <w:sz w:val="24"/>
      <w:szCs w:val="24"/>
      <w:lang w:val="x-none"/>
    </w:rPr>
  </w:style>
  <w:style w:type="character" w:customStyle="1" w:styleId="Text1CharChar">
    <w:name w:val="Text 1 Char Char"/>
    <w:link w:val="Text1Char"/>
    <w:locked/>
    <w:rsid w:val="006F40F6"/>
    <w:rPr>
      <w:sz w:val="24"/>
      <w:szCs w:val="24"/>
      <w:lang w:eastAsia="en-US"/>
    </w:rPr>
  </w:style>
  <w:style w:type="paragraph" w:customStyle="1" w:styleId="Text1Char">
    <w:name w:val="Text 1 Char"/>
    <w:basedOn w:val="Normal"/>
    <w:link w:val="Text1CharChar"/>
    <w:rsid w:val="006F40F6"/>
    <w:pPr>
      <w:spacing w:line="360" w:lineRule="auto"/>
      <w:ind w:left="850"/>
    </w:pPr>
    <w:rPr>
      <w:sz w:val="24"/>
      <w:szCs w:val="24"/>
      <w:lang w:val="x-none"/>
    </w:rPr>
  </w:style>
  <w:style w:type="paragraph" w:customStyle="1" w:styleId="Point0">
    <w:name w:val="Point 0"/>
    <w:basedOn w:val="Normal"/>
    <w:rsid w:val="006F40F6"/>
    <w:pPr>
      <w:spacing w:line="360" w:lineRule="auto"/>
      <w:ind w:left="850" w:hanging="850"/>
    </w:pPr>
    <w:rPr>
      <w:rFonts w:ascii="Times New Roman" w:eastAsia="Times New Roman" w:hAnsi="Times New Roman"/>
      <w:sz w:val="24"/>
      <w:szCs w:val="24"/>
    </w:rPr>
  </w:style>
  <w:style w:type="paragraph" w:customStyle="1" w:styleId="Point1">
    <w:name w:val="Point 1"/>
    <w:basedOn w:val="Normal"/>
    <w:rsid w:val="006F40F6"/>
    <w:pPr>
      <w:spacing w:line="360" w:lineRule="auto"/>
      <w:ind w:left="1417" w:hanging="567"/>
    </w:pPr>
    <w:rPr>
      <w:rFonts w:ascii="Times New Roman" w:eastAsia="Times New Roman" w:hAnsi="Times New Roman"/>
      <w:sz w:val="24"/>
      <w:szCs w:val="24"/>
    </w:rPr>
  </w:style>
  <w:style w:type="paragraph" w:styleId="BalloonText">
    <w:name w:val="Balloon Text"/>
    <w:basedOn w:val="Normal"/>
    <w:semiHidden/>
    <w:rsid w:val="00D24ED6"/>
    <w:rPr>
      <w:rFonts w:ascii="Tahoma" w:hAnsi="Tahoma" w:cs="Tahoma"/>
      <w:sz w:val="16"/>
      <w:szCs w:val="16"/>
    </w:rPr>
  </w:style>
  <w:style w:type="paragraph" w:customStyle="1" w:styleId="Text1">
    <w:name w:val="Text 1"/>
    <w:basedOn w:val="Normal"/>
    <w:rsid w:val="005E709E"/>
    <w:pPr>
      <w:spacing w:line="360" w:lineRule="auto"/>
      <w:ind w:left="850"/>
    </w:pPr>
    <w:rPr>
      <w:rFonts w:ascii="Times New Roman" w:eastAsia="Times New Roman" w:hAnsi="Times New Roman"/>
      <w:sz w:val="24"/>
      <w:szCs w:val="24"/>
    </w:rPr>
  </w:style>
  <w:style w:type="paragraph" w:customStyle="1" w:styleId="ManualNumPar1">
    <w:name w:val="Manual NumPar 1"/>
    <w:basedOn w:val="Normal"/>
    <w:next w:val="Text1"/>
    <w:rsid w:val="005E709E"/>
    <w:pPr>
      <w:spacing w:line="360" w:lineRule="auto"/>
      <w:ind w:left="850" w:hanging="850"/>
    </w:pPr>
    <w:rPr>
      <w:rFonts w:ascii="Times New Roman" w:eastAsia="Times New Roman" w:hAnsi="Times New Roman"/>
      <w:sz w:val="24"/>
      <w:szCs w:val="24"/>
    </w:rPr>
  </w:style>
  <w:style w:type="character" w:customStyle="1" w:styleId="FootnoteTextCharChar">
    <w:name w:val="Footnote Text Char Char"/>
    <w:aliases w:val="Footnote Text Char1 Char Char,Footnote Text Char Char Char Char,Char Char Char Char Char Char Char1 Char Char Char,Char Char Char Char Char Char Char Char Char Char Char,Char Char Char Char Char Char Char Char Char"/>
    <w:rsid w:val="00F16031"/>
    <w:rPr>
      <w:sz w:val="24"/>
      <w:szCs w:val="24"/>
      <w:shd w:val="clear" w:color="auto" w:fill="auto"/>
      <w:lang w:val="en-GB" w:eastAsia="en-US" w:bidi="ar-SA"/>
    </w:rPr>
  </w:style>
  <w:style w:type="paragraph" w:customStyle="1" w:styleId="Point2">
    <w:name w:val="Point 2"/>
    <w:basedOn w:val="Normal"/>
    <w:rsid w:val="00F16031"/>
    <w:pPr>
      <w:spacing w:line="360" w:lineRule="auto"/>
      <w:ind w:left="1984" w:hanging="567"/>
    </w:pPr>
    <w:rPr>
      <w:rFonts w:ascii="Times New Roman" w:eastAsia="Times New Roman" w:hAnsi="Times New Roman"/>
      <w:sz w:val="24"/>
      <w:szCs w:val="24"/>
    </w:rPr>
  </w:style>
  <w:style w:type="paragraph" w:customStyle="1" w:styleId="Tiret1">
    <w:name w:val="Tiret 1"/>
    <w:basedOn w:val="Point1"/>
    <w:rsid w:val="00C6019D"/>
    <w:pPr>
      <w:numPr>
        <w:numId w:val="3"/>
      </w:numPr>
    </w:pPr>
  </w:style>
  <w:style w:type="paragraph" w:customStyle="1" w:styleId="Tiret3">
    <w:name w:val="Tiret 3"/>
    <w:basedOn w:val="Normal"/>
    <w:rsid w:val="002C28D0"/>
    <w:pPr>
      <w:numPr>
        <w:numId w:val="4"/>
      </w:numPr>
      <w:spacing w:line="360" w:lineRule="auto"/>
    </w:pPr>
    <w:rPr>
      <w:rFonts w:ascii="Times New Roman" w:eastAsia="Times New Roman" w:hAnsi="Times New Roman"/>
      <w:sz w:val="24"/>
      <w:szCs w:val="24"/>
    </w:rPr>
  </w:style>
  <w:style w:type="paragraph" w:customStyle="1" w:styleId="Text2">
    <w:name w:val="Text 2"/>
    <w:basedOn w:val="Normal"/>
    <w:rsid w:val="001069A6"/>
    <w:pPr>
      <w:spacing w:line="360" w:lineRule="auto"/>
      <w:ind w:left="1417"/>
    </w:pPr>
    <w:rPr>
      <w:rFonts w:ascii="Times New Roman" w:eastAsia="Times New Roman" w:hAnsi="Times New Roman"/>
      <w:sz w:val="24"/>
      <w:szCs w:val="24"/>
    </w:rPr>
  </w:style>
  <w:style w:type="character" w:customStyle="1" w:styleId="Added">
    <w:name w:val="Added"/>
    <w:rsid w:val="007614EA"/>
    <w:rPr>
      <w:rFonts w:cs="Times New Roman"/>
      <w:b/>
      <w:u w:val="single"/>
      <w:shd w:val="clear" w:color="auto" w:fill="auto"/>
    </w:rPr>
  </w:style>
  <w:style w:type="paragraph" w:customStyle="1" w:styleId="Applicationdirecte">
    <w:name w:val="Application directe"/>
    <w:basedOn w:val="Normal"/>
    <w:next w:val="Fait"/>
    <w:rsid w:val="00681C26"/>
    <w:pPr>
      <w:spacing w:before="480" w:line="360" w:lineRule="auto"/>
    </w:pPr>
    <w:rPr>
      <w:rFonts w:ascii="Times New Roman" w:eastAsia="Times New Roman" w:hAnsi="Times New Roman"/>
      <w:sz w:val="24"/>
      <w:szCs w:val="24"/>
    </w:rPr>
  </w:style>
  <w:style w:type="paragraph" w:customStyle="1" w:styleId="Fait">
    <w:name w:val="Fait à"/>
    <w:basedOn w:val="Normal"/>
    <w:next w:val="Normal"/>
    <w:rsid w:val="00681C26"/>
    <w:pPr>
      <w:keepNext/>
      <w:spacing w:line="360" w:lineRule="auto"/>
    </w:pPr>
    <w:rPr>
      <w:rFonts w:ascii="Times New Roman" w:eastAsia="Times New Roman" w:hAnsi="Times New Roman"/>
      <w:sz w:val="24"/>
      <w:szCs w:val="24"/>
    </w:rPr>
  </w:style>
  <w:style w:type="character" w:customStyle="1" w:styleId="Heading2Char">
    <w:name w:val="Heading 2 Char"/>
    <w:link w:val="Heading2"/>
    <w:rsid w:val="001D4AA7"/>
    <w:rPr>
      <w:rFonts w:ascii="Arial" w:eastAsia="Times New Roman" w:hAnsi="Arial"/>
      <w:b/>
      <w:bCs/>
      <w:iCs/>
      <w:sz w:val="22"/>
      <w:szCs w:val="28"/>
      <w:lang w:val="x-none" w:eastAsia="en-US"/>
    </w:rPr>
  </w:style>
  <w:style w:type="character" w:customStyle="1" w:styleId="Heading3Char">
    <w:name w:val="Heading 3 Char"/>
    <w:link w:val="Heading3"/>
    <w:rsid w:val="00DA5C9E"/>
    <w:rPr>
      <w:rFonts w:ascii="Times New Roman" w:eastAsia="Times New Roman" w:hAnsi="Times New Roman"/>
      <w:bCs/>
      <w:i/>
      <w:sz w:val="24"/>
      <w:szCs w:val="26"/>
      <w:lang w:eastAsia="en-US"/>
    </w:rPr>
  </w:style>
  <w:style w:type="character" w:customStyle="1" w:styleId="Heading4Char">
    <w:name w:val="Heading 4 Char"/>
    <w:link w:val="Heading4"/>
    <w:rsid w:val="00DA5C9E"/>
    <w:rPr>
      <w:rFonts w:ascii="Times New Roman" w:eastAsia="Times New Roman" w:hAnsi="Times New Roman"/>
      <w:bCs/>
      <w:sz w:val="24"/>
      <w:szCs w:val="28"/>
      <w:lang w:eastAsia="en-US"/>
    </w:rPr>
  </w:style>
  <w:style w:type="character" w:styleId="LineNumber">
    <w:name w:val="line number"/>
    <w:uiPriority w:val="99"/>
    <w:semiHidden/>
    <w:unhideWhenUsed/>
    <w:rsid w:val="008E54AF"/>
  </w:style>
  <w:style w:type="character" w:styleId="Hyperlink">
    <w:name w:val="Hyperlink"/>
    <w:uiPriority w:val="99"/>
    <w:unhideWhenUsed/>
    <w:rsid w:val="00B903BA"/>
    <w:rPr>
      <w:color w:val="0000FF"/>
      <w:u w:val="single"/>
    </w:rPr>
  </w:style>
  <w:style w:type="paragraph" w:customStyle="1" w:styleId="Default">
    <w:name w:val="Default"/>
    <w:rsid w:val="002B7934"/>
    <w:pPr>
      <w:autoSpaceDE w:val="0"/>
      <w:autoSpaceDN w:val="0"/>
      <w:adjustRightInd w:val="0"/>
    </w:pPr>
    <w:rPr>
      <w:rFonts w:ascii="EUAlbertina" w:hAnsi="EUAlbertina" w:cs="EUAlbertina"/>
      <w:color w:val="000000"/>
      <w:sz w:val="24"/>
      <w:szCs w:val="24"/>
      <w:lang w:eastAsia="en-US"/>
    </w:rPr>
  </w:style>
  <w:style w:type="paragraph" w:customStyle="1" w:styleId="CM4">
    <w:name w:val="CM4"/>
    <w:basedOn w:val="Normal"/>
    <w:next w:val="Normal"/>
    <w:uiPriority w:val="99"/>
    <w:rsid w:val="002B7934"/>
    <w:pPr>
      <w:autoSpaceDE w:val="0"/>
      <w:autoSpaceDN w:val="0"/>
      <w:adjustRightInd w:val="0"/>
    </w:pPr>
    <w:rPr>
      <w:rFonts w:ascii="EUAlbertina" w:hAnsi="EUAlbertina"/>
      <w:sz w:val="24"/>
      <w:szCs w:val="24"/>
    </w:rPr>
  </w:style>
  <w:style w:type="character" w:customStyle="1" w:styleId="Corpsdutexte">
    <w:name w:val="Corps du texte_"/>
    <w:link w:val="Corpsdutexte1"/>
    <w:uiPriority w:val="99"/>
    <w:locked/>
    <w:rsid w:val="002B7934"/>
    <w:rPr>
      <w:rFonts w:ascii="Arial" w:hAnsi="Arial" w:cs="Arial"/>
      <w:sz w:val="21"/>
      <w:szCs w:val="21"/>
      <w:shd w:val="clear" w:color="auto" w:fill="FFFFFF"/>
    </w:rPr>
  </w:style>
  <w:style w:type="paragraph" w:customStyle="1" w:styleId="Corpsdutexte1">
    <w:name w:val="Corps du texte1"/>
    <w:basedOn w:val="Normal"/>
    <w:link w:val="Corpsdutexte"/>
    <w:uiPriority w:val="99"/>
    <w:rsid w:val="002B7934"/>
    <w:pPr>
      <w:widowControl w:val="0"/>
      <w:shd w:val="clear" w:color="auto" w:fill="FFFFFF"/>
      <w:spacing w:before="300" w:after="180" w:line="250" w:lineRule="exact"/>
      <w:ind w:hanging="440"/>
    </w:pPr>
    <w:rPr>
      <w:sz w:val="21"/>
      <w:szCs w:val="21"/>
      <w:lang w:val="x-none" w:eastAsia="x-none"/>
    </w:rPr>
  </w:style>
  <w:style w:type="character" w:customStyle="1" w:styleId="Corpsdutexte33">
    <w:name w:val="Corps du texte33"/>
    <w:uiPriority w:val="99"/>
    <w:rsid w:val="002B7934"/>
    <w:rPr>
      <w:rFonts w:ascii="Arial" w:hAnsi="Arial" w:cs="Arial"/>
      <w:sz w:val="21"/>
      <w:szCs w:val="21"/>
      <w:u w:val="single"/>
      <w:shd w:val="clear" w:color="auto" w:fill="FFFFFF"/>
    </w:rPr>
  </w:style>
  <w:style w:type="paragraph" w:customStyle="1" w:styleId="CM1">
    <w:name w:val="CM1"/>
    <w:basedOn w:val="Default"/>
    <w:next w:val="Default"/>
    <w:uiPriority w:val="99"/>
    <w:rsid w:val="00003744"/>
    <w:rPr>
      <w:rFonts w:cs="Times New Roman"/>
      <w:color w:val="auto"/>
      <w:lang w:eastAsia="en-GB"/>
    </w:rPr>
  </w:style>
  <w:style w:type="paragraph" w:customStyle="1" w:styleId="CM3">
    <w:name w:val="CM3"/>
    <w:basedOn w:val="Default"/>
    <w:next w:val="Default"/>
    <w:uiPriority w:val="99"/>
    <w:rsid w:val="00003744"/>
    <w:rPr>
      <w:rFonts w:cs="Times New Roman"/>
      <w:color w:val="auto"/>
      <w:lang w:eastAsia="en-GB"/>
    </w:rPr>
  </w:style>
  <w:style w:type="character" w:customStyle="1" w:styleId="numerique2">
    <w:name w:val="numerique2"/>
    <w:rsid w:val="00D242E8"/>
  </w:style>
  <w:style w:type="character" w:styleId="PageNumber">
    <w:name w:val="page number"/>
    <w:rsid w:val="00B958CE"/>
  </w:style>
  <w:style w:type="paragraph" w:styleId="DocumentMap">
    <w:name w:val="Document Map"/>
    <w:basedOn w:val="Normal"/>
    <w:link w:val="DocumentMapChar"/>
    <w:semiHidden/>
    <w:rsid w:val="00B958CE"/>
    <w:pPr>
      <w:shd w:val="clear" w:color="auto" w:fill="000080"/>
    </w:pPr>
    <w:rPr>
      <w:rFonts w:ascii="Tahoma" w:eastAsia="Times New Roman" w:hAnsi="Tahoma"/>
      <w:sz w:val="20"/>
      <w:szCs w:val="20"/>
      <w:lang w:eastAsia="x-none"/>
    </w:rPr>
  </w:style>
  <w:style w:type="character" w:customStyle="1" w:styleId="DocumentMapChar">
    <w:name w:val="Document Map Char"/>
    <w:link w:val="DocumentMap"/>
    <w:semiHidden/>
    <w:rsid w:val="00B958CE"/>
    <w:rPr>
      <w:rFonts w:ascii="Tahoma" w:eastAsia="Times New Roman" w:hAnsi="Tahoma" w:cs="Tahoma"/>
      <w:shd w:val="clear" w:color="auto" w:fill="000080"/>
      <w:lang w:val="en-GB"/>
    </w:rPr>
  </w:style>
  <w:style w:type="paragraph" w:customStyle="1" w:styleId="ZCom">
    <w:name w:val="Z_Com"/>
    <w:basedOn w:val="Normal"/>
    <w:next w:val="Normal"/>
    <w:rsid w:val="00B958CE"/>
    <w:pPr>
      <w:widowControl w:val="0"/>
      <w:ind w:right="85"/>
    </w:pPr>
    <w:rPr>
      <w:rFonts w:eastAsia="Times New Roman"/>
      <w:snapToGrid w:val="0"/>
      <w:sz w:val="24"/>
      <w:szCs w:val="20"/>
    </w:rPr>
  </w:style>
  <w:style w:type="paragraph" w:customStyle="1" w:styleId="ZDGName">
    <w:name w:val="Z_DGName"/>
    <w:basedOn w:val="Normal"/>
    <w:rsid w:val="00B958CE"/>
    <w:pPr>
      <w:widowControl w:val="0"/>
      <w:ind w:right="85"/>
    </w:pPr>
    <w:rPr>
      <w:rFonts w:eastAsia="Times New Roman"/>
      <w:snapToGrid w:val="0"/>
      <w:sz w:val="16"/>
      <w:szCs w:val="20"/>
    </w:rPr>
  </w:style>
  <w:style w:type="paragraph" w:styleId="ListParagraph">
    <w:name w:val="List Paragraph"/>
    <w:basedOn w:val="Normal"/>
    <w:uiPriority w:val="34"/>
    <w:qFormat/>
    <w:rsid w:val="007673A5"/>
    <w:pPr>
      <w:spacing w:before="0"/>
      <w:ind w:left="397"/>
    </w:pPr>
    <w:rPr>
      <w:rFonts w:eastAsia="Times New Roman"/>
      <w:szCs w:val="20"/>
      <w:lang w:val="fr-BE"/>
    </w:rPr>
  </w:style>
  <w:style w:type="character" w:customStyle="1" w:styleId="Corpsdutexte26">
    <w:name w:val="Corps du texte26"/>
    <w:uiPriority w:val="99"/>
    <w:rsid w:val="00B958CE"/>
    <w:rPr>
      <w:rFonts w:ascii="Arial" w:hAnsi="Arial" w:cs="Arial"/>
      <w:sz w:val="21"/>
      <w:szCs w:val="21"/>
      <w:u w:val="single"/>
      <w:shd w:val="clear" w:color="auto" w:fill="FFFFFF"/>
    </w:rPr>
  </w:style>
  <w:style w:type="paragraph" w:customStyle="1" w:styleId="References">
    <w:name w:val="References"/>
    <w:basedOn w:val="Normal"/>
    <w:rsid w:val="00640259"/>
    <w:rPr>
      <w:rFonts w:eastAsia="Times New Roman"/>
      <w:b/>
      <w:szCs w:val="20"/>
      <w:lang w:eastAsia="fr-BE"/>
    </w:rPr>
  </w:style>
  <w:style w:type="paragraph" w:customStyle="1" w:styleId="DocumentTitle">
    <w:name w:val="Document Title"/>
    <w:basedOn w:val="Normal"/>
    <w:rsid w:val="00640259"/>
    <w:pPr>
      <w:pBdr>
        <w:bottom w:val="single" w:sz="4" w:space="1" w:color="auto"/>
      </w:pBdr>
      <w:spacing w:before="2400"/>
      <w:outlineLvl w:val="0"/>
    </w:pPr>
    <w:rPr>
      <w:rFonts w:eastAsia="Times"/>
      <w:b/>
      <w:kern w:val="28"/>
      <w:sz w:val="32"/>
      <w:szCs w:val="20"/>
      <w:lang w:val="fr-FR" w:eastAsia="fr-BE"/>
    </w:rPr>
  </w:style>
  <w:style w:type="paragraph" w:customStyle="1" w:styleId="SubTitle2">
    <w:name w:val="SubTitle2"/>
    <w:basedOn w:val="Normal"/>
    <w:next w:val="Normal"/>
    <w:rsid w:val="00640259"/>
    <w:pPr>
      <w:numPr>
        <w:numId w:val="5"/>
      </w:numPr>
      <w:pBdr>
        <w:bottom w:val="single" w:sz="4" w:space="1" w:color="auto"/>
      </w:pBdr>
      <w:tabs>
        <w:tab w:val="clear" w:pos="2199"/>
      </w:tabs>
      <w:spacing w:after="1000"/>
      <w:ind w:left="0" w:firstLine="0"/>
    </w:pPr>
    <w:rPr>
      <w:rFonts w:eastAsia="Times"/>
      <w:szCs w:val="20"/>
      <w:lang w:eastAsia="fr-BE"/>
    </w:rPr>
  </w:style>
  <w:style w:type="character" w:customStyle="1" w:styleId="super">
    <w:name w:val="super"/>
    <w:rsid w:val="00DF2E45"/>
  </w:style>
  <w:style w:type="character" w:customStyle="1" w:styleId="apple-converted-space">
    <w:name w:val="apple-converted-space"/>
    <w:rsid w:val="00DF2E45"/>
  </w:style>
  <w:style w:type="character" w:customStyle="1" w:styleId="italic">
    <w:name w:val="italic"/>
    <w:rsid w:val="00DF2E45"/>
  </w:style>
  <w:style w:type="character" w:customStyle="1" w:styleId="bold">
    <w:name w:val="bold"/>
    <w:rsid w:val="00DF2E45"/>
  </w:style>
  <w:style w:type="paragraph" w:customStyle="1" w:styleId="Normal1">
    <w:name w:val="Normal1"/>
    <w:basedOn w:val="Normal"/>
    <w:rsid w:val="00DF2E45"/>
    <w:pPr>
      <w:spacing w:before="100" w:beforeAutospacing="1" w:after="100" w:afterAutospacing="1"/>
    </w:pPr>
    <w:rPr>
      <w:rFonts w:ascii="Times New Roman" w:eastAsia="Times New Roman" w:hAnsi="Times New Roman"/>
      <w:sz w:val="24"/>
      <w:szCs w:val="24"/>
      <w:lang w:val="en-US"/>
    </w:rPr>
  </w:style>
  <w:style w:type="paragraph" w:customStyle="1" w:styleId="ti-section-1">
    <w:name w:val="ti-section-1"/>
    <w:basedOn w:val="Normal"/>
    <w:rsid w:val="00DF2E45"/>
    <w:pPr>
      <w:spacing w:before="100" w:beforeAutospacing="1" w:after="100" w:afterAutospacing="1"/>
    </w:pPr>
    <w:rPr>
      <w:rFonts w:ascii="Times New Roman" w:eastAsia="Times New Roman" w:hAnsi="Times New Roman"/>
      <w:sz w:val="24"/>
      <w:szCs w:val="24"/>
      <w:lang w:val="en-US"/>
    </w:rPr>
  </w:style>
  <w:style w:type="paragraph" w:customStyle="1" w:styleId="ti-section-2">
    <w:name w:val="ti-section-2"/>
    <w:basedOn w:val="Normal"/>
    <w:rsid w:val="00DF2E45"/>
    <w:pPr>
      <w:spacing w:before="100" w:beforeAutospacing="1" w:after="100" w:afterAutospacing="1"/>
    </w:pPr>
    <w:rPr>
      <w:rFonts w:ascii="Times New Roman" w:eastAsia="Times New Roman" w:hAnsi="Times New Roman"/>
      <w:sz w:val="24"/>
      <w:szCs w:val="24"/>
      <w:lang w:val="en-US"/>
    </w:rPr>
  </w:style>
  <w:style w:type="paragraph" w:customStyle="1" w:styleId="ti-art">
    <w:name w:val="ti-art"/>
    <w:basedOn w:val="Normal"/>
    <w:rsid w:val="00DF2E45"/>
    <w:pPr>
      <w:spacing w:before="100" w:beforeAutospacing="1" w:after="100" w:afterAutospacing="1"/>
    </w:pPr>
    <w:rPr>
      <w:rFonts w:ascii="Times New Roman" w:eastAsia="Times New Roman" w:hAnsi="Times New Roman"/>
      <w:sz w:val="24"/>
      <w:szCs w:val="24"/>
      <w:lang w:val="en-US"/>
    </w:rPr>
  </w:style>
  <w:style w:type="paragraph" w:customStyle="1" w:styleId="sti-art">
    <w:name w:val="sti-art"/>
    <w:basedOn w:val="Normal"/>
    <w:rsid w:val="00DF2E45"/>
    <w:pPr>
      <w:spacing w:before="100" w:beforeAutospacing="1" w:after="100" w:afterAutospacing="1"/>
    </w:pPr>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A60EF9"/>
    <w:pPr>
      <w:spacing w:after="200" w:line="276" w:lineRule="auto"/>
    </w:pPr>
    <w:rPr>
      <w:b/>
      <w:bCs/>
      <w:lang w:val="en-GB"/>
    </w:rPr>
  </w:style>
  <w:style w:type="character" w:customStyle="1" w:styleId="CommentSubjectChar">
    <w:name w:val="Comment Subject Char"/>
    <w:link w:val="CommentSubject"/>
    <w:uiPriority w:val="99"/>
    <w:semiHidden/>
    <w:rsid w:val="00B7487B"/>
    <w:rPr>
      <w:rFonts w:ascii="Times New Roman" w:eastAsia="Times New Roman" w:hAnsi="Times New Roman"/>
      <w:b/>
      <w:bCs/>
      <w:lang w:eastAsia="x-none"/>
    </w:rPr>
  </w:style>
  <w:style w:type="paragraph" w:styleId="Revision">
    <w:name w:val="Revision"/>
    <w:hidden/>
    <w:uiPriority w:val="99"/>
    <w:semiHidden/>
    <w:rsid w:val="00A60EF9"/>
    <w:rPr>
      <w:sz w:val="22"/>
      <w:szCs w:val="22"/>
      <w:lang w:eastAsia="en-US"/>
    </w:rPr>
  </w:style>
  <w:style w:type="paragraph" w:customStyle="1" w:styleId="DocumentSubTitle">
    <w:name w:val="Document SubTitle"/>
    <w:basedOn w:val="Normal"/>
    <w:next w:val="Normal"/>
    <w:rsid w:val="003F7B55"/>
    <w:pPr>
      <w:spacing w:after="720"/>
    </w:pPr>
    <w:rPr>
      <w:rFonts w:eastAsia="Times"/>
      <w:b/>
      <w:color w:val="3D98D1"/>
      <w:sz w:val="28"/>
      <w:szCs w:val="28"/>
      <w:lang w:val="fr-FR" w:eastAsia="fr-FR"/>
    </w:rPr>
  </w:style>
  <w:style w:type="paragraph" w:styleId="Subtitle">
    <w:name w:val="Subtitle"/>
    <w:basedOn w:val="Normal"/>
    <w:next w:val="Normal"/>
    <w:link w:val="SubtitleChar"/>
    <w:uiPriority w:val="11"/>
    <w:qFormat/>
    <w:rsid w:val="001C103C"/>
    <w:pPr>
      <w:numPr>
        <w:ilvl w:val="1"/>
      </w:numPr>
      <w:spacing w:before="360" w:after="160"/>
      <w:jc w:val="left"/>
    </w:pPr>
    <w:rPr>
      <w:rFonts w:eastAsiaTheme="minorEastAsia" w:cstheme="minorBidi"/>
      <w:spacing w:val="15"/>
      <w:u w:val="single"/>
    </w:rPr>
  </w:style>
  <w:style w:type="character" w:customStyle="1" w:styleId="SubtitleChar">
    <w:name w:val="Subtitle Char"/>
    <w:basedOn w:val="DefaultParagraphFont"/>
    <w:link w:val="Subtitle"/>
    <w:uiPriority w:val="11"/>
    <w:rsid w:val="001C103C"/>
    <w:rPr>
      <w:rFonts w:ascii="Arial" w:eastAsiaTheme="minorEastAsia" w:hAnsi="Arial" w:cstheme="minorBidi"/>
      <w:spacing w:val="15"/>
      <w:sz w:val="22"/>
      <w:szCs w:val="22"/>
      <w:u w:val="single"/>
      <w:lang w:eastAsia="en-US"/>
    </w:rPr>
  </w:style>
  <w:style w:type="paragraph" w:customStyle="1" w:styleId="numbering2">
    <w:name w:val="numbering 2"/>
    <w:link w:val="numbering2Char"/>
    <w:qFormat/>
    <w:rsid w:val="00396553"/>
    <w:pPr>
      <w:spacing w:before="150" w:after="150"/>
    </w:pPr>
    <w:rPr>
      <w:rFonts w:ascii="Arial" w:eastAsia="Times New Roman" w:hAnsi="Arial"/>
      <w:sz w:val="22"/>
      <w:lang w:val="fr-BE" w:eastAsia="en-US"/>
    </w:rPr>
  </w:style>
  <w:style w:type="character" w:customStyle="1" w:styleId="numbering2Char">
    <w:name w:val="numbering 2 Char"/>
    <w:basedOn w:val="DefaultParagraphFont"/>
    <w:link w:val="numbering2"/>
    <w:rsid w:val="00396553"/>
    <w:rPr>
      <w:rFonts w:ascii="Arial" w:eastAsia="Times New Roman" w:hAnsi="Arial"/>
      <w:sz w:val="22"/>
      <w:lang w:val="fr-BE" w:eastAsia="en-US"/>
    </w:rPr>
  </w:style>
  <w:style w:type="paragraph" w:styleId="Quote">
    <w:name w:val="Quote"/>
    <w:basedOn w:val="Normal"/>
    <w:next w:val="Normal"/>
    <w:link w:val="QuoteChar"/>
    <w:uiPriority w:val="29"/>
    <w:qFormat/>
    <w:rsid w:val="009B04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42C"/>
    <w:rPr>
      <w:rFonts w:ascii="Arial" w:hAnsi="Arial"/>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083">
      <w:bodyDiv w:val="1"/>
      <w:marLeft w:val="0"/>
      <w:marRight w:val="0"/>
      <w:marTop w:val="0"/>
      <w:marBottom w:val="0"/>
      <w:divBdr>
        <w:top w:val="none" w:sz="0" w:space="0" w:color="auto"/>
        <w:left w:val="none" w:sz="0" w:space="0" w:color="auto"/>
        <w:bottom w:val="none" w:sz="0" w:space="0" w:color="auto"/>
        <w:right w:val="none" w:sz="0" w:space="0" w:color="auto"/>
      </w:divBdr>
    </w:div>
    <w:div w:id="53092857">
      <w:bodyDiv w:val="1"/>
      <w:marLeft w:val="0"/>
      <w:marRight w:val="0"/>
      <w:marTop w:val="0"/>
      <w:marBottom w:val="0"/>
      <w:divBdr>
        <w:top w:val="none" w:sz="0" w:space="0" w:color="auto"/>
        <w:left w:val="none" w:sz="0" w:space="0" w:color="auto"/>
        <w:bottom w:val="none" w:sz="0" w:space="0" w:color="auto"/>
        <w:right w:val="none" w:sz="0" w:space="0" w:color="auto"/>
      </w:divBdr>
    </w:div>
    <w:div w:id="56559093">
      <w:bodyDiv w:val="1"/>
      <w:marLeft w:val="0"/>
      <w:marRight w:val="0"/>
      <w:marTop w:val="0"/>
      <w:marBottom w:val="0"/>
      <w:divBdr>
        <w:top w:val="none" w:sz="0" w:space="0" w:color="auto"/>
        <w:left w:val="none" w:sz="0" w:space="0" w:color="auto"/>
        <w:bottom w:val="none" w:sz="0" w:space="0" w:color="auto"/>
        <w:right w:val="none" w:sz="0" w:space="0" w:color="auto"/>
      </w:divBdr>
    </w:div>
    <w:div w:id="132645620">
      <w:bodyDiv w:val="1"/>
      <w:marLeft w:val="0"/>
      <w:marRight w:val="0"/>
      <w:marTop w:val="0"/>
      <w:marBottom w:val="0"/>
      <w:divBdr>
        <w:top w:val="none" w:sz="0" w:space="0" w:color="auto"/>
        <w:left w:val="none" w:sz="0" w:space="0" w:color="auto"/>
        <w:bottom w:val="none" w:sz="0" w:space="0" w:color="auto"/>
        <w:right w:val="none" w:sz="0" w:space="0" w:color="auto"/>
      </w:divBdr>
    </w:div>
    <w:div w:id="18884037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5143520">
      <w:bodyDiv w:val="1"/>
      <w:marLeft w:val="0"/>
      <w:marRight w:val="0"/>
      <w:marTop w:val="0"/>
      <w:marBottom w:val="0"/>
      <w:divBdr>
        <w:top w:val="none" w:sz="0" w:space="0" w:color="auto"/>
        <w:left w:val="none" w:sz="0" w:space="0" w:color="auto"/>
        <w:bottom w:val="none" w:sz="0" w:space="0" w:color="auto"/>
        <w:right w:val="none" w:sz="0" w:space="0" w:color="auto"/>
      </w:divBdr>
    </w:div>
    <w:div w:id="231627699">
      <w:bodyDiv w:val="1"/>
      <w:marLeft w:val="0"/>
      <w:marRight w:val="0"/>
      <w:marTop w:val="0"/>
      <w:marBottom w:val="0"/>
      <w:divBdr>
        <w:top w:val="none" w:sz="0" w:space="0" w:color="auto"/>
        <w:left w:val="none" w:sz="0" w:space="0" w:color="auto"/>
        <w:bottom w:val="none" w:sz="0" w:space="0" w:color="auto"/>
        <w:right w:val="none" w:sz="0" w:space="0" w:color="auto"/>
      </w:divBdr>
    </w:div>
    <w:div w:id="256139873">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291252113">
      <w:bodyDiv w:val="1"/>
      <w:marLeft w:val="0"/>
      <w:marRight w:val="0"/>
      <w:marTop w:val="0"/>
      <w:marBottom w:val="0"/>
      <w:divBdr>
        <w:top w:val="none" w:sz="0" w:space="0" w:color="auto"/>
        <w:left w:val="none" w:sz="0" w:space="0" w:color="auto"/>
        <w:bottom w:val="none" w:sz="0" w:space="0" w:color="auto"/>
        <w:right w:val="none" w:sz="0" w:space="0" w:color="auto"/>
      </w:divBdr>
    </w:div>
    <w:div w:id="346835916">
      <w:bodyDiv w:val="1"/>
      <w:marLeft w:val="0"/>
      <w:marRight w:val="0"/>
      <w:marTop w:val="0"/>
      <w:marBottom w:val="0"/>
      <w:divBdr>
        <w:top w:val="none" w:sz="0" w:space="0" w:color="auto"/>
        <w:left w:val="none" w:sz="0" w:space="0" w:color="auto"/>
        <w:bottom w:val="none" w:sz="0" w:space="0" w:color="auto"/>
        <w:right w:val="none" w:sz="0" w:space="0" w:color="auto"/>
      </w:divBdr>
    </w:div>
    <w:div w:id="353776790">
      <w:bodyDiv w:val="1"/>
      <w:marLeft w:val="0"/>
      <w:marRight w:val="0"/>
      <w:marTop w:val="0"/>
      <w:marBottom w:val="0"/>
      <w:divBdr>
        <w:top w:val="none" w:sz="0" w:space="0" w:color="auto"/>
        <w:left w:val="none" w:sz="0" w:space="0" w:color="auto"/>
        <w:bottom w:val="none" w:sz="0" w:space="0" w:color="auto"/>
        <w:right w:val="none" w:sz="0" w:space="0" w:color="auto"/>
      </w:divBdr>
    </w:div>
    <w:div w:id="406348711">
      <w:bodyDiv w:val="1"/>
      <w:marLeft w:val="0"/>
      <w:marRight w:val="0"/>
      <w:marTop w:val="0"/>
      <w:marBottom w:val="0"/>
      <w:divBdr>
        <w:top w:val="none" w:sz="0" w:space="0" w:color="auto"/>
        <w:left w:val="none" w:sz="0" w:space="0" w:color="auto"/>
        <w:bottom w:val="none" w:sz="0" w:space="0" w:color="auto"/>
        <w:right w:val="none" w:sz="0" w:space="0" w:color="auto"/>
      </w:divBdr>
    </w:div>
    <w:div w:id="420226413">
      <w:bodyDiv w:val="1"/>
      <w:marLeft w:val="0"/>
      <w:marRight w:val="0"/>
      <w:marTop w:val="0"/>
      <w:marBottom w:val="0"/>
      <w:divBdr>
        <w:top w:val="none" w:sz="0" w:space="0" w:color="auto"/>
        <w:left w:val="none" w:sz="0" w:space="0" w:color="auto"/>
        <w:bottom w:val="none" w:sz="0" w:space="0" w:color="auto"/>
        <w:right w:val="none" w:sz="0" w:space="0" w:color="auto"/>
      </w:divBdr>
    </w:div>
    <w:div w:id="483132293">
      <w:bodyDiv w:val="1"/>
      <w:marLeft w:val="0"/>
      <w:marRight w:val="0"/>
      <w:marTop w:val="0"/>
      <w:marBottom w:val="0"/>
      <w:divBdr>
        <w:top w:val="none" w:sz="0" w:space="0" w:color="auto"/>
        <w:left w:val="none" w:sz="0" w:space="0" w:color="auto"/>
        <w:bottom w:val="none" w:sz="0" w:space="0" w:color="auto"/>
        <w:right w:val="none" w:sz="0" w:space="0" w:color="auto"/>
      </w:divBdr>
      <w:divsChild>
        <w:div w:id="144326054">
          <w:marLeft w:val="0"/>
          <w:marRight w:val="0"/>
          <w:marTop w:val="0"/>
          <w:marBottom w:val="0"/>
          <w:divBdr>
            <w:top w:val="none" w:sz="0" w:space="0" w:color="auto"/>
            <w:left w:val="none" w:sz="0" w:space="0" w:color="auto"/>
            <w:bottom w:val="none" w:sz="0" w:space="0" w:color="auto"/>
            <w:right w:val="none" w:sz="0" w:space="0" w:color="auto"/>
          </w:divBdr>
          <w:divsChild>
            <w:div w:id="1864440741">
              <w:marLeft w:val="0"/>
              <w:marRight w:val="0"/>
              <w:marTop w:val="0"/>
              <w:marBottom w:val="0"/>
              <w:divBdr>
                <w:top w:val="none" w:sz="0" w:space="0" w:color="auto"/>
                <w:left w:val="none" w:sz="0" w:space="0" w:color="auto"/>
                <w:bottom w:val="none" w:sz="0" w:space="0" w:color="auto"/>
                <w:right w:val="none" w:sz="0" w:space="0" w:color="auto"/>
              </w:divBdr>
              <w:divsChild>
                <w:div w:id="1989940305">
                  <w:marLeft w:val="0"/>
                  <w:marRight w:val="0"/>
                  <w:marTop w:val="0"/>
                  <w:marBottom w:val="0"/>
                  <w:divBdr>
                    <w:top w:val="none" w:sz="0" w:space="0" w:color="auto"/>
                    <w:left w:val="none" w:sz="0" w:space="0" w:color="auto"/>
                    <w:bottom w:val="none" w:sz="0" w:space="0" w:color="auto"/>
                    <w:right w:val="none" w:sz="0" w:space="0" w:color="auto"/>
                  </w:divBdr>
                  <w:divsChild>
                    <w:div w:id="1077554439">
                      <w:marLeft w:val="1"/>
                      <w:marRight w:val="1"/>
                      <w:marTop w:val="0"/>
                      <w:marBottom w:val="0"/>
                      <w:divBdr>
                        <w:top w:val="none" w:sz="0" w:space="0" w:color="auto"/>
                        <w:left w:val="none" w:sz="0" w:space="0" w:color="auto"/>
                        <w:bottom w:val="none" w:sz="0" w:space="0" w:color="auto"/>
                        <w:right w:val="none" w:sz="0" w:space="0" w:color="auto"/>
                      </w:divBdr>
                      <w:divsChild>
                        <w:div w:id="585579102">
                          <w:marLeft w:val="0"/>
                          <w:marRight w:val="0"/>
                          <w:marTop w:val="0"/>
                          <w:marBottom w:val="0"/>
                          <w:divBdr>
                            <w:top w:val="none" w:sz="0" w:space="0" w:color="auto"/>
                            <w:left w:val="none" w:sz="0" w:space="0" w:color="auto"/>
                            <w:bottom w:val="none" w:sz="0" w:space="0" w:color="auto"/>
                            <w:right w:val="none" w:sz="0" w:space="0" w:color="auto"/>
                          </w:divBdr>
                          <w:divsChild>
                            <w:div w:id="1909881195">
                              <w:marLeft w:val="0"/>
                              <w:marRight w:val="0"/>
                              <w:marTop w:val="0"/>
                              <w:marBottom w:val="360"/>
                              <w:divBdr>
                                <w:top w:val="none" w:sz="0" w:space="0" w:color="auto"/>
                                <w:left w:val="none" w:sz="0" w:space="0" w:color="auto"/>
                                <w:bottom w:val="none" w:sz="0" w:space="0" w:color="auto"/>
                                <w:right w:val="none" w:sz="0" w:space="0" w:color="auto"/>
                              </w:divBdr>
                              <w:divsChild>
                                <w:div w:id="2086871836">
                                  <w:marLeft w:val="0"/>
                                  <w:marRight w:val="0"/>
                                  <w:marTop w:val="0"/>
                                  <w:marBottom w:val="0"/>
                                  <w:divBdr>
                                    <w:top w:val="none" w:sz="0" w:space="0" w:color="auto"/>
                                    <w:left w:val="none" w:sz="0" w:space="0" w:color="auto"/>
                                    <w:bottom w:val="none" w:sz="0" w:space="0" w:color="auto"/>
                                    <w:right w:val="none" w:sz="0" w:space="0" w:color="auto"/>
                                  </w:divBdr>
                                  <w:divsChild>
                                    <w:div w:id="2143494073">
                                      <w:marLeft w:val="0"/>
                                      <w:marRight w:val="0"/>
                                      <w:marTop w:val="0"/>
                                      <w:marBottom w:val="0"/>
                                      <w:divBdr>
                                        <w:top w:val="none" w:sz="0" w:space="0" w:color="auto"/>
                                        <w:left w:val="none" w:sz="0" w:space="0" w:color="auto"/>
                                        <w:bottom w:val="none" w:sz="0" w:space="0" w:color="auto"/>
                                        <w:right w:val="none" w:sz="0" w:space="0" w:color="auto"/>
                                      </w:divBdr>
                                      <w:divsChild>
                                        <w:div w:id="74086328">
                                          <w:marLeft w:val="600"/>
                                          <w:marRight w:val="0"/>
                                          <w:marTop w:val="0"/>
                                          <w:marBottom w:val="0"/>
                                          <w:divBdr>
                                            <w:top w:val="none" w:sz="0" w:space="0" w:color="auto"/>
                                            <w:left w:val="none" w:sz="0" w:space="0" w:color="auto"/>
                                            <w:bottom w:val="none" w:sz="0" w:space="0" w:color="auto"/>
                                            <w:right w:val="none" w:sz="0" w:space="0" w:color="auto"/>
                                          </w:divBdr>
                                        </w:div>
                                        <w:div w:id="1426533563">
                                          <w:marLeft w:val="600"/>
                                          <w:marRight w:val="0"/>
                                          <w:marTop w:val="0"/>
                                          <w:marBottom w:val="0"/>
                                          <w:divBdr>
                                            <w:top w:val="none" w:sz="0" w:space="0" w:color="auto"/>
                                            <w:left w:val="none" w:sz="0" w:space="0" w:color="auto"/>
                                            <w:bottom w:val="none" w:sz="0" w:space="0" w:color="auto"/>
                                            <w:right w:val="none" w:sz="0" w:space="0" w:color="auto"/>
                                          </w:divBdr>
                                        </w:div>
                                        <w:div w:id="18646362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026744">
      <w:bodyDiv w:val="1"/>
      <w:marLeft w:val="0"/>
      <w:marRight w:val="0"/>
      <w:marTop w:val="0"/>
      <w:marBottom w:val="0"/>
      <w:divBdr>
        <w:top w:val="none" w:sz="0" w:space="0" w:color="auto"/>
        <w:left w:val="none" w:sz="0" w:space="0" w:color="auto"/>
        <w:bottom w:val="none" w:sz="0" w:space="0" w:color="auto"/>
        <w:right w:val="none" w:sz="0" w:space="0" w:color="auto"/>
      </w:divBdr>
    </w:div>
    <w:div w:id="528645601">
      <w:bodyDiv w:val="1"/>
      <w:marLeft w:val="0"/>
      <w:marRight w:val="0"/>
      <w:marTop w:val="0"/>
      <w:marBottom w:val="0"/>
      <w:divBdr>
        <w:top w:val="none" w:sz="0" w:space="0" w:color="auto"/>
        <w:left w:val="none" w:sz="0" w:space="0" w:color="auto"/>
        <w:bottom w:val="none" w:sz="0" w:space="0" w:color="auto"/>
        <w:right w:val="none" w:sz="0" w:space="0" w:color="auto"/>
      </w:divBdr>
    </w:div>
    <w:div w:id="535780508">
      <w:bodyDiv w:val="1"/>
      <w:marLeft w:val="0"/>
      <w:marRight w:val="0"/>
      <w:marTop w:val="0"/>
      <w:marBottom w:val="0"/>
      <w:divBdr>
        <w:top w:val="none" w:sz="0" w:space="0" w:color="auto"/>
        <w:left w:val="none" w:sz="0" w:space="0" w:color="auto"/>
        <w:bottom w:val="none" w:sz="0" w:space="0" w:color="auto"/>
        <w:right w:val="none" w:sz="0" w:space="0" w:color="auto"/>
      </w:divBdr>
    </w:div>
    <w:div w:id="566037915">
      <w:bodyDiv w:val="1"/>
      <w:marLeft w:val="0"/>
      <w:marRight w:val="0"/>
      <w:marTop w:val="0"/>
      <w:marBottom w:val="0"/>
      <w:divBdr>
        <w:top w:val="none" w:sz="0" w:space="0" w:color="auto"/>
        <w:left w:val="none" w:sz="0" w:space="0" w:color="auto"/>
        <w:bottom w:val="none" w:sz="0" w:space="0" w:color="auto"/>
        <w:right w:val="none" w:sz="0" w:space="0" w:color="auto"/>
      </w:divBdr>
      <w:divsChild>
        <w:div w:id="1009798223">
          <w:marLeft w:val="0"/>
          <w:marRight w:val="0"/>
          <w:marTop w:val="0"/>
          <w:marBottom w:val="0"/>
          <w:divBdr>
            <w:top w:val="none" w:sz="0" w:space="0" w:color="auto"/>
            <w:left w:val="none" w:sz="0" w:space="0" w:color="auto"/>
            <w:bottom w:val="none" w:sz="0" w:space="0" w:color="auto"/>
            <w:right w:val="none" w:sz="0" w:space="0" w:color="auto"/>
          </w:divBdr>
          <w:divsChild>
            <w:div w:id="54858972">
              <w:marLeft w:val="0"/>
              <w:marRight w:val="0"/>
              <w:marTop w:val="0"/>
              <w:marBottom w:val="0"/>
              <w:divBdr>
                <w:top w:val="none" w:sz="0" w:space="0" w:color="auto"/>
                <w:left w:val="none" w:sz="0" w:space="0" w:color="auto"/>
                <w:bottom w:val="none" w:sz="0" w:space="0" w:color="auto"/>
                <w:right w:val="none" w:sz="0" w:space="0" w:color="auto"/>
              </w:divBdr>
              <w:divsChild>
                <w:div w:id="386874976">
                  <w:marLeft w:val="0"/>
                  <w:marRight w:val="0"/>
                  <w:marTop w:val="0"/>
                  <w:marBottom w:val="0"/>
                  <w:divBdr>
                    <w:top w:val="none" w:sz="0" w:space="0" w:color="auto"/>
                    <w:left w:val="none" w:sz="0" w:space="0" w:color="auto"/>
                    <w:bottom w:val="none" w:sz="0" w:space="0" w:color="auto"/>
                    <w:right w:val="none" w:sz="0" w:space="0" w:color="auto"/>
                  </w:divBdr>
                  <w:divsChild>
                    <w:div w:id="231935741">
                      <w:marLeft w:val="1"/>
                      <w:marRight w:val="1"/>
                      <w:marTop w:val="0"/>
                      <w:marBottom w:val="0"/>
                      <w:divBdr>
                        <w:top w:val="none" w:sz="0" w:space="0" w:color="auto"/>
                        <w:left w:val="none" w:sz="0" w:space="0" w:color="auto"/>
                        <w:bottom w:val="none" w:sz="0" w:space="0" w:color="auto"/>
                        <w:right w:val="none" w:sz="0" w:space="0" w:color="auto"/>
                      </w:divBdr>
                      <w:divsChild>
                        <w:div w:id="1402679189">
                          <w:marLeft w:val="0"/>
                          <w:marRight w:val="0"/>
                          <w:marTop w:val="0"/>
                          <w:marBottom w:val="0"/>
                          <w:divBdr>
                            <w:top w:val="none" w:sz="0" w:space="0" w:color="auto"/>
                            <w:left w:val="none" w:sz="0" w:space="0" w:color="auto"/>
                            <w:bottom w:val="none" w:sz="0" w:space="0" w:color="auto"/>
                            <w:right w:val="none" w:sz="0" w:space="0" w:color="auto"/>
                          </w:divBdr>
                          <w:divsChild>
                            <w:div w:id="1033114617">
                              <w:marLeft w:val="0"/>
                              <w:marRight w:val="0"/>
                              <w:marTop w:val="0"/>
                              <w:marBottom w:val="360"/>
                              <w:divBdr>
                                <w:top w:val="none" w:sz="0" w:space="0" w:color="auto"/>
                                <w:left w:val="none" w:sz="0" w:space="0" w:color="auto"/>
                                <w:bottom w:val="none" w:sz="0" w:space="0" w:color="auto"/>
                                <w:right w:val="none" w:sz="0" w:space="0" w:color="auto"/>
                              </w:divBdr>
                              <w:divsChild>
                                <w:div w:id="779642458">
                                  <w:marLeft w:val="0"/>
                                  <w:marRight w:val="0"/>
                                  <w:marTop w:val="0"/>
                                  <w:marBottom w:val="0"/>
                                  <w:divBdr>
                                    <w:top w:val="none" w:sz="0" w:space="0" w:color="auto"/>
                                    <w:left w:val="none" w:sz="0" w:space="0" w:color="auto"/>
                                    <w:bottom w:val="none" w:sz="0" w:space="0" w:color="auto"/>
                                    <w:right w:val="none" w:sz="0" w:space="0" w:color="auto"/>
                                  </w:divBdr>
                                  <w:divsChild>
                                    <w:div w:id="687097305">
                                      <w:marLeft w:val="0"/>
                                      <w:marRight w:val="0"/>
                                      <w:marTop w:val="0"/>
                                      <w:marBottom w:val="0"/>
                                      <w:divBdr>
                                        <w:top w:val="none" w:sz="0" w:space="0" w:color="auto"/>
                                        <w:left w:val="none" w:sz="0" w:space="0" w:color="auto"/>
                                        <w:bottom w:val="none" w:sz="0" w:space="0" w:color="auto"/>
                                        <w:right w:val="none" w:sz="0" w:space="0" w:color="auto"/>
                                      </w:divBdr>
                                      <w:divsChild>
                                        <w:div w:id="20789851">
                                          <w:marLeft w:val="600"/>
                                          <w:marRight w:val="0"/>
                                          <w:marTop w:val="0"/>
                                          <w:marBottom w:val="0"/>
                                          <w:divBdr>
                                            <w:top w:val="none" w:sz="0" w:space="0" w:color="auto"/>
                                            <w:left w:val="none" w:sz="0" w:space="0" w:color="auto"/>
                                            <w:bottom w:val="none" w:sz="0" w:space="0" w:color="auto"/>
                                            <w:right w:val="none" w:sz="0" w:space="0" w:color="auto"/>
                                          </w:divBdr>
                                        </w:div>
                                        <w:div w:id="1399748386">
                                          <w:marLeft w:val="600"/>
                                          <w:marRight w:val="0"/>
                                          <w:marTop w:val="0"/>
                                          <w:marBottom w:val="0"/>
                                          <w:divBdr>
                                            <w:top w:val="none" w:sz="0" w:space="0" w:color="auto"/>
                                            <w:left w:val="none" w:sz="0" w:space="0" w:color="auto"/>
                                            <w:bottom w:val="none" w:sz="0" w:space="0" w:color="auto"/>
                                            <w:right w:val="none" w:sz="0" w:space="0" w:color="auto"/>
                                          </w:divBdr>
                                        </w:div>
                                        <w:div w:id="15899258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376866">
      <w:bodyDiv w:val="1"/>
      <w:marLeft w:val="0"/>
      <w:marRight w:val="0"/>
      <w:marTop w:val="0"/>
      <w:marBottom w:val="0"/>
      <w:divBdr>
        <w:top w:val="none" w:sz="0" w:space="0" w:color="auto"/>
        <w:left w:val="none" w:sz="0" w:space="0" w:color="auto"/>
        <w:bottom w:val="none" w:sz="0" w:space="0" w:color="auto"/>
        <w:right w:val="none" w:sz="0" w:space="0" w:color="auto"/>
      </w:divBdr>
    </w:div>
    <w:div w:id="634069597">
      <w:bodyDiv w:val="1"/>
      <w:marLeft w:val="0"/>
      <w:marRight w:val="0"/>
      <w:marTop w:val="0"/>
      <w:marBottom w:val="0"/>
      <w:divBdr>
        <w:top w:val="none" w:sz="0" w:space="0" w:color="auto"/>
        <w:left w:val="none" w:sz="0" w:space="0" w:color="auto"/>
        <w:bottom w:val="none" w:sz="0" w:space="0" w:color="auto"/>
        <w:right w:val="none" w:sz="0" w:space="0" w:color="auto"/>
      </w:divBdr>
    </w:div>
    <w:div w:id="641274919">
      <w:bodyDiv w:val="1"/>
      <w:marLeft w:val="0"/>
      <w:marRight w:val="0"/>
      <w:marTop w:val="0"/>
      <w:marBottom w:val="0"/>
      <w:divBdr>
        <w:top w:val="none" w:sz="0" w:space="0" w:color="auto"/>
        <w:left w:val="none" w:sz="0" w:space="0" w:color="auto"/>
        <w:bottom w:val="none" w:sz="0" w:space="0" w:color="auto"/>
        <w:right w:val="none" w:sz="0" w:space="0" w:color="auto"/>
      </w:divBdr>
    </w:div>
    <w:div w:id="684016210">
      <w:bodyDiv w:val="1"/>
      <w:marLeft w:val="0"/>
      <w:marRight w:val="0"/>
      <w:marTop w:val="0"/>
      <w:marBottom w:val="0"/>
      <w:divBdr>
        <w:top w:val="none" w:sz="0" w:space="0" w:color="auto"/>
        <w:left w:val="none" w:sz="0" w:space="0" w:color="auto"/>
        <w:bottom w:val="none" w:sz="0" w:space="0" w:color="auto"/>
        <w:right w:val="none" w:sz="0" w:space="0" w:color="auto"/>
      </w:divBdr>
    </w:div>
    <w:div w:id="696933905">
      <w:bodyDiv w:val="1"/>
      <w:marLeft w:val="0"/>
      <w:marRight w:val="0"/>
      <w:marTop w:val="0"/>
      <w:marBottom w:val="0"/>
      <w:divBdr>
        <w:top w:val="none" w:sz="0" w:space="0" w:color="auto"/>
        <w:left w:val="none" w:sz="0" w:space="0" w:color="auto"/>
        <w:bottom w:val="none" w:sz="0" w:space="0" w:color="auto"/>
        <w:right w:val="none" w:sz="0" w:space="0" w:color="auto"/>
      </w:divBdr>
    </w:div>
    <w:div w:id="723330184">
      <w:bodyDiv w:val="1"/>
      <w:marLeft w:val="0"/>
      <w:marRight w:val="0"/>
      <w:marTop w:val="0"/>
      <w:marBottom w:val="0"/>
      <w:divBdr>
        <w:top w:val="none" w:sz="0" w:space="0" w:color="auto"/>
        <w:left w:val="none" w:sz="0" w:space="0" w:color="auto"/>
        <w:bottom w:val="none" w:sz="0" w:space="0" w:color="auto"/>
        <w:right w:val="none" w:sz="0" w:space="0" w:color="auto"/>
      </w:divBdr>
    </w:div>
    <w:div w:id="804201042">
      <w:bodyDiv w:val="1"/>
      <w:marLeft w:val="0"/>
      <w:marRight w:val="0"/>
      <w:marTop w:val="0"/>
      <w:marBottom w:val="0"/>
      <w:divBdr>
        <w:top w:val="none" w:sz="0" w:space="0" w:color="auto"/>
        <w:left w:val="none" w:sz="0" w:space="0" w:color="auto"/>
        <w:bottom w:val="none" w:sz="0" w:space="0" w:color="auto"/>
        <w:right w:val="none" w:sz="0" w:space="0" w:color="auto"/>
      </w:divBdr>
    </w:div>
    <w:div w:id="937982439">
      <w:bodyDiv w:val="1"/>
      <w:marLeft w:val="0"/>
      <w:marRight w:val="0"/>
      <w:marTop w:val="0"/>
      <w:marBottom w:val="0"/>
      <w:divBdr>
        <w:top w:val="none" w:sz="0" w:space="0" w:color="auto"/>
        <w:left w:val="none" w:sz="0" w:space="0" w:color="auto"/>
        <w:bottom w:val="none" w:sz="0" w:space="0" w:color="auto"/>
        <w:right w:val="none" w:sz="0" w:space="0" w:color="auto"/>
      </w:divBdr>
    </w:div>
    <w:div w:id="948782888">
      <w:bodyDiv w:val="1"/>
      <w:marLeft w:val="0"/>
      <w:marRight w:val="0"/>
      <w:marTop w:val="0"/>
      <w:marBottom w:val="0"/>
      <w:divBdr>
        <w:top w:val="none" w:sz="0" w:space="0" w:color="auto"/>
        <w:left w:val="none" w:sz="0" w:space="0" w:color="auto"/>
        <w:bottom w:val="none" w:sz="0" w:space="0" w:color="auto"/>
        <w:right w:val="none" w:sz="0" w:space="0" w:color="auto"/>
      </w:divBdr>
    </w:div>
    <w:div w:id="961813830">
      <w:bodyDiv w:val="1"/>
      <w:marLeft w:val="0"/>
      <w:marRight w:val="0"/>
      <w:marTop w:val="0"/>
      <w:marBottom w:val="0"/>
      <w:divBdr>
        <w:top w:val="none" w:sz="0" w:space="0" w:color="auto"/>
        <w:left w:val="none" w:sz="0" w:space="0" w:color="auto"/>
        <w:bottom w:val="none" w:sz="0" w:space="0" w:color="auto"/>
        <w:right w:val="none" w:sz="0" w:space="0" w:color="auto"/>
      </w:divBdr>
    </w:div>
    <w:div w:id="964387916">
      <w:bodyDiv w:val="1"/>
      <w:marLeft w:val="0"/>
      <w:marRight w:val="0"/>
      <w:marTop w:val="0"/>
      <w:marBottom w:val="0"/>
      <w:divBdr>
        <w:top w:val="none" w:sz="0" w:space="0" w:color="auto"/>
        <w:left w:val="none" w:sz="0" w:space="0" w:color="auto"/>
        <w:bottom w:val="none" w:sz="0" w:space="0" w:color="auto"/>
        <w:right w:val="none" w:sz="0" w:space="0" w:color="auto"/>
      </w:divBdr>
    </w:div>
    <w:div w:id="1030763920">
      <w:bodyDiv w:val="1"/>
      <w:marLeft w:val="0"/>
      <w:marRight w:val="0"/>
      <w:marTop w:val="0"/>
      <w:marBottom w:val="0"/>
      <w:divBdr>
        <w:top w:val="none" w:sz="0" w:space="0" w:color="auto"/>
        <w:left w:val="none" w:sz="0" w:space="0" w:color="auto"/>
        <w:bottom w:val="none" w:sz="0" w:space="0" w:color="auto"/>
        <w:right w:val="none" w:sz="0" w:space="0" w:color="auto"/>
      </w:divBdr>
    </w:div>
    <w:div w:id="1058089739">
      <w:bodyDiv w:val="1"/>
      <w:marLeft w:val="0"/>
      <w:marRight w:val="0"/>
      <w:marTop w:val="0"/>
      <w:marBottom w:val="0"/>
      <w:divBdr>
        <w:top w:val="none" w:sz="0" w:space="0" w:color="auto"/>
        <w:left w:val="none" w:sz="0" w:space="0" w:color="auto"/>
        <w:bottom w:val="none" w:sz="0" w:space="0" w:color="auto"/>
        <w:right w:val="none" w:sz="0" w:space="0" w:color="auto"/>
      </w:divBdr>
    </w:div>
    <w:div w:id="1060595863">
      <w:bodyDiv w:val="1"/>
      <w:marLeft w:val="0"/>
      <w:marRight w:val="0"/>
      <w:marTop w:val="0"/>
      <w:marBottom w:val="0"/>
      <w:divBdr>
        <w:top w:val="none" w:sz="0" w:space="0" w:color="auto"/>
        <w:left w:val="none" w:sz="0" w:space="0" w:color="auto"/>
        <w:bottom w:val="none" w:sz="0" w:space="0" w:color="auto"/>
        <w:right w:val="none" w:sz="0" w:space="0" w:color="auto"/>
      </w:divBdr>
    </w:div>
    <w:div w:id="1082068463">
      <w:bodyDiv w:val="1"/>
      <w:marLeft w:val="0"/>
      <w:marRight w:val="0"/>
      <w:marTop w:val="0"/>
      <w:marBottom w:val="0"/>
      <w:divBdr>
        <w:top w:val="none" w:sz="0" w:space="0" w:color="auto"/>
        <w:left w:val="none" w:sz="0" w:space="0" w:color="auto"/>
        <w:bottom w:val="none" w:sz="0" w:space="0" w:color="auto"/>
        <w:right w:val="none" w:sz="0" w:space="0" w:color="auto"/>
      </w:divBdr>
    </w:div>
    <w:div w:id="1101923265">
      <w:bodyDiv w:val="1"/>
      <w:marLeft w:val="0"/>
      <w:marRight w:val="0"/>
      <w:marTop w:val="0"/>
      <w:marBottom w:val="0"/>
      <w:divBdr>
        <w:top w:val="none" w:sz="0" w:space="0" w:color="auto"/>
        <w:left w:val="none" w:sz="0" w:space="0" w:color="auto"/>
        <w:bottom w:val="none" w:sz="0" w:space="0" w:color="auto"/>
        <w:right w:val="none" w:sz="0" w:space="0" w:color="auto"/>
      </w:divBdr>
    </w:div>
    <w:div w:id="1102383721">
      <w:bodyDiv w:val="1"/>
      <w:marLeft w:val="0"/>
      <w:marRight w:val="0"/>
      <w:marTop w:val="0"/>
      <w:marBottom w:val="0"/>
      <w:divBdr>
        <w:top w:val="none" w:sz="0" w:space="0" w:color="auto"/>
        <w:left w:val="none" w:sz="0" w:space="0" w:color="auto"/>
        <w:bottom w:val="none" w:sz="0" w:space="0" w:color="auto"/>
        <w:right w:val="none" w:sz="0" w:space="0" w:color="auto"/>
      </w:divBdr>
    </w:div>
    <w:div w:id="1113131920">
      <w:bodyDiv w:val="1"/>
      <w:marLeft w:val="0"/>
      <w:marRight w:val="0"/>
      <w:marTop w:val="0"/>
      <w:marBottom w:val="0"/>
      <w:divBdr>
        <w:top w:val="none" w:sz="0" w:space="0" w:color="auto"/>
        <w:left w:val="none" w:sz="0" w:space="0" w:color="auto"/>
        <w:bottom w:val="none" w:sz="0" w:space="0" w:color="auto"/>
        <w:right w:val="none" w:sz="0" w:space="0" w:color="auto"/>
      </w:divBdr>
    </w:div>
    <w:div w:id="1114909654">
      <w:bodyDiv w:val="1"/>
      <w:marLeft w:val="0"/>
      <w:marRight w:val="0"/>
      <w:marTop w:val="0"/>
      <w:marBottom w:val="0"/>
      <w:divBdr>
        <w:top w:val="none" w:sz="0" w:space="0" w:color="auto"/>
        <w:left w:val="none" w:sz="0" w:space="0" w:color="auto"/>
        <w:bottom w:val="none" w:sz="0" w:space="0" w:color="auto"/>
        <w:right w:val="none" w:sz="0" w:space="0" w:color="auto"/>
      </w:divBdr>
    </w:div>
    <w:div w:id="1122384076">
      <w:bodyDiv w:val="1"/>
      <w:marLeft w:val="0"/>
      <w:marRight w:val="0"/>
      <w:marTop w:val="0"/>
      <w:marBottom w:val="0"/>
      <w:divBdr>
        <w:top w:val="none" w:sz="0" w:space="0" w:color="auto"/>
        <w:left w:val="none" w:sz="0" w:space="0" w:color="auto"/>
        <w:bottom w:val="none" w:sz="0" w:space="0" w:color="auto"/>
        <w:right w:val="none" w:sz="0" w:space="0" w:color="auto"/>
      </w:divBdr>
    </w:div>
    <w:div w:id="1148981714">
      <w:bodyDiv w:val="1"/>
      <w:marLeft w:val="0"/>
      <w:marRight w:val="0"/>
      <w:marTop w:val="0"/>
      <w:marBottom w:val="0"/>
      <w:divBdr>
        <w:top w:val="none" w:sz="0" w:space="0" w:color="auto"/>
        <w:left w:val="none" w:sz="0" w:space="0" w:color="auto"/>
        <w:bottom w:val="none" w:sz="0" w:space="0" w:color="auto"/>
        <w:right w:val="none" w:sz="0" w:space="0" w:color="auto"/>
      </w:divBdr>
    </w:div>
    <w:div w:id="1155414683">
      <w:bodyDiv w:val="1"/>
      <w:marLeft w:val="0"/>
      <w:marRight w:val="0"/>
      <w:marTop w:val="0"/>
      <w:marBottom w:val="0"/>
      <w:divBdr>
        <w:top w:val="none" w:sz="0" w:space="0" w:color="auto"/>
        <w:left w:val="none" w:sz="0" w:space="0" w:color="auto"/>
        <w:bottom w:val="none" w:sz="0" w:space="0" w:color="auto"/>
        <w:right w:val="none" w:sz="0" w:space="0" w:color="auto"/>
      </w:divBdr>
    </w:div>
    <w:div w:id="1161000746">
      <w:bodyDiv w:val="1"/>
      <w:marLeft w:val="0"/>
      <w:marRight w:val="0"/>
      <w:marTop w:val="0"/>
      <w:marBottom w:val="0"/>
      <w:divBdr>
        <w:top w:val="none" w:sz="0" w:space="0" w:color="auto"/>
        <w:left w:val="none" w:sz="0" w:space="0" w:color="auto"/>
        <w:bottom w:val="none" w:sz="0" w:space="0" w:color="auto"/>
        <w:right w:val="none" w:sz="0" w:space="0" w:color="auto"/>
      </w:divBdr>
    </w:div>
    <w:div w:id="1171485925">
      <w:bodyDiv w:val="1"/>
      <w:marLeft w:val="0"/>
      <w:marRight w:val="0"/>
      <w:marTop w:val="0"/>
      <w:marBottom w:val="0"/>
      <w:divBdr>
        <w:top w:val="none" w:sz="0" w:space="0" w:color="auto"/>
        <w:left w:val="none" w:sz="0" w:space="0" w:color="auto"/>
        <w:bottom w:val="none" w:sz="0" w:space="0" w:color="auto"/>
        <w:right w:val="none" w:sz="0" w:space="0" w:color="auto"/>
      </w:divBdr>
    </w:div>
    <w:div w:id="1190030654">
      <w:bodyDiv w:val="1"/>
      <w:marLeft w:val="0"/>
      <w:marRight w:val="0"/>
      <w:marTop w:val="0"/>
      <w:marBottom w:val="0"/>
      <w:divBdr>
        <w:top w:val="none" w:sz="0" w:space="0" w:color="auto"/>
        <w:left w:val="none" w:sz="0" w:space="0" w:color="auto"/>
        <w:bottom w:val="none" w:sz="0" w:space="0" w:color="auto"/>
        <w:right w:val="none" w:sz="0" w:space="0" w:color="auto"/>
      </w:divBdr>
    </w:div>
    <w:div w:id="1277906331">
      <w:bodyDiv w:val="1"/>
      <w:marLeft w:val="0"/>
      <w:marRight w:val="0"/>
      <w:marTop w:val="0"/>
      <w:marBottom w:val="0"/>
      <w:divBdr>
        <w:top w:val="none" w:sz="0" w:space="0" w:color="auto"/>
        <w:left w:val="none" w:sz="0" w:space="0" w:color="auto"/>
        <w:bottom w:val="none" w:sz="0" w:space="0" w:color="auto"/>
        <w:right w:val="none" w:sz="0" w:space="0" w:color="auto"/>
      </w:divBdr>
    </w:div>
    <w:div w:id="1285186171">
      <w:bodyDiv w:val="1"/>
      <w:marLeft w:val="0"/>
      <w:marRight w:val="0"/>
      <w:marTop w:val="0"/>
      <w:marBottom w:val="0"/>
      <w:divBdr>
        <w:top w:val="none" w:sz="0" w:space="0" w:color="auto"/>
        <w:left w:val="none" w:sz="0" w:space="0" w:color="auto"/>
        <w:bottom w:val="none" w:sz="0" w:space="0" w:color="auto"/>
        <w:right w:val="none" w:sz="0" w:space="0" w:color="auto"/>
      </w:divBdr>
    </w:div>
    <w:div w:id="1303120295">
      <w:bodyDiv w:val="1"/>
      <w:marLeft w:val="0"/>
      <w:marRight w:val="0"/>
      <w:marTop w:val="0"/>
      <w:marBottom w:val="0"/>
      <w:divBdr>
        <w:top w:val="none" w:sz="0" w:space="0" w:color="auto"/>
        <w:left w:val="none" w:sz="0" w:space="0" w:color="auto"/>
        <w:bottom w:val="none" w:sz="0" w:space="0" w:color="auto"/>
        <w:right w:val="none" w:sz="0" w:space="0" w:color="auto"/>
      </w:divBdr>
    </w:div>
    <w:div w:id="1330979962">
      <w:bodyDiv w:val="1"/>
      <w:marLeft w:val="0"/>
      <w:marRight w:val="0"/>
      <w:marTop w:val="0"/>
      <w:marBottom w:val="0"/>
      <w:divBdr>
        <w:top w:val="none" w:sz="0" w:space="0" w:color="auto"/>
        <w:left w:val="none" w:sz="0" w:space="0" w:color="auto"/>
        <w:bottom w:val="none" w:sz="0" w:space="0" w:color="auto"/>
        <w:right w:val="none" w:sz="0" w:space="0" w:color="auto"/>
      </w:divBdr>
    </w:div>
    <w:div w:id="1339385506">
      <w:bodyDiv w:val="1"/>
      <w:marLeft w:val="0"/>
      <w:marRight w:val="0"/>
      <w:marTop w:val="0"/>
      <w:marBottom w:val="0"/>
      <w:divBdr>
        <w:top w:val="none" w:sz="0" w:space="0" w:color="auto"/>
        <w:left w:val="none" w:sz="0" w:space="0" w:color="auto"/>
        <w:bottom w:val="none" w:sz="0" w:space="0" w:color="auto"/>
        <w:right w:val="none" w:sz="0" w:space="0" w:color="auto"/>
      </w:divBdr>
    </w:div>
    <w:div w:id="1352145817">
      <w:bodyDiv w:val="1"/>
      <w:marLeft w:val="0"/>
      <w:marRight w:val="0"/>
      <w:marTop w:val="0"/>
      <w:marBottom w:val="0"/>
      <w:divBdr>
        <w:top w:val="none" w:sz="0" w:space="0" w:color="auto"/>
        <w:left w:val="none" w:sz="0" w:space="0" w:color="auto"/>
        <w:bottom w:val="none" w:sz="0" w:space="0" w:color="auto"/>
        <w:right w:val="none" w:sz="0" w:space="0" w:color="auto"/>
      </w:divBdr>
    </w:div>
    <w:div w:id="1413702094">
      <w:bodyDiv w:val="1"/>
      <w:marLeft w:val="0"/>
      <w:marRight w:val="0"/>
      <w:marTop w:val="0"/>
      <w:marBottom w:val="0"/>
      <w:divBdr>
        <w:top w:val="none" w:sz="0" w:space="0" w:color="auto"/>
        <w:left w:val="none" w:sz="0" w:space="0" w:color="auto"/>
        <w:bottom w:val="none" w:sz="0" w:space="0" w:color="auto"/>
        <w:right w:val="none" w:sz="0" w:space="0" w:color="auto"/>
      </w:divBdr>
    </w:div>
    <w:div w:id="1433431397">
      <w:bodyDiv w:val="1"/>
      <w:marLeft w:val="0"/>
      <w:marRight w:val="0"/>
      <w:marTop w:val="0"/>
      <w:marBottom w:val="0"/>
      <w:divBdr>
        <w:top w:val="none" w:sz="0" w:space="0" w:color="auto"/>
        <w:left w:val="none" w:sz="0" w:space="0" w:color="auto"/>
        <w:bottom w:val="none" w:sz="0" w:space="0" w:color="auto"/>
        <w:right w:val="none" w:sz="0" w:space="0" w:color="auto"/>
      </w:divBdr>
    </w:div>
    <w:div w:id="1523858223">
      <w:bodyDiv w:val="1"/>
      <w:marLeft w:val="0"/>
      <w:marRight w:val="0"/>
      <w:marTop w:val="0"/>
      <w:marBottom w:val="0"/>
      <w:divBdr>
        <w:top w:val="none" w:sz="0" w:space="0" w:color="auto"/>
        <w:left w:val="none" w:sz="0" w:space="0" w:color="auto"/>
        <w:bottom w:val="none" w:sz="0" w:space="0" w:color="auto"/>
        <w:right w:val="none" w:sz="0" w:space="0" w:color="auto"/>
      </w:divBdr>
    </w:div>
    <w:div w:id="1540899230">
      <w:bodyDiv w:val="1"/>
      <w:marLeft w:val="0"/>
      <w:marRight w:val="0"/>
      <w:marTop w:val="0"/>
      <w:marBottom w:val="0"/>
      <w:divBdr>
        <w:top w:val="none" w:sz="0" w:space="0" w:color="auto"/>
        <w:left w:val="none" w:sz="0" w:space="0" w:color="auto"/>
        <w:bottom w:val="none" w:sz="0" w:space="0" w:color="auto"/>
        <w:right w:val="none" w:sz="0" w:space="0" w:color="auto"/>
      </w:divBdr>
    </w:div>
    <w:div w:id="1574772772">
      <w:bodyDiv w:val="1"/>
      <w:marLeft w:val="0"/>
      <w:marRight w:val="0"/>
      <w:marTop w:val="0"/>
      <w:marBottom w:val="0"/>
      <w:divBdr>
        <w:top w:val="none" w:sz="0" w:space="0" w:color="auto"/>
        <w:left w:val="none" w:sz="0" w:space="0" w:color="auto"/>
        <w:bottom w:val="none" w:sz="0" w:space="0" w:color="auto"/>
        <w:right w:val="none" w:sz="0" w:space="0" w:color="auto"/>
      </w:divBdr>
    </w:div>
    <w:div w:id="1580360103">
      <w:bodyDiv w:val="1"/>
      <w:marLeft w:val="0"/>
      <w:marRight w:val="0"/>
      <w:marTop w:val="0"/>
      <w:marBottom w:val="0"/>
      <w:divBdr>
        <w:top w:val="none" w:sz="0" w:space="0" w:color="auto"/>
        <w:left w:val="none" w:sz="0" w:space="0" w:color="auto"/>
        <w:bottom w:val="none" w:sz="0" w:space="0" w:color="auto"/>
        <w:right w:val="none" w:sz="0" w:space="0" w:color="auto"/>
      </w:divBdr>
    </w:div>
    <w:div w:id="1588034393">
      <w:bodyDiv w:val="1"/>
      <w:marLeft w:val="0"/>
      <w:marRight w:val="0"/>
      <w:marTop w:val="0"/>
      <w:marBottom w:val="0"/>
      <w:divBdr>
        <w:top w:val="none" w:sz="0" w:space="0" w:color="auto"/>
        <w:left w:val="none" w:sz="0" w:space="0" w:color="auto"/>
        <w:bottom w:val="none" w:sz="0" w:space="0" w:color="auto"/>
        <w:right w:val="none" w:sz="0" w:space="0" w:color="auto"/>
      </w:divBdr>
    </w:div>
    <w:div w:id="1609005343">
      <w:bodyDiv w:val="1"/>
      <w:marLeft w:val="0"/>
      <w:marRight w:val="0"/>
      <w:marTop w:val="0"/>
      <w:marBottom w:val="0"/>
      <w:divBdr>
        <w:top w:val="none" w:sz="0" w:space="0" w:color="auto"/>
        <w:left w:val="none" w:sz="0" w:space="0" w:color="auto"/>
        <w:bottom w:val="none" w:sz="0" w:space="0" w:color="auto"/>
        <w:right w:val="none" w:sz="0" w:space="0" w:color="auto"/>
      </w:divBdr>
    </w:div>
    <w:div w:id="1674255568">
      <w:bodyDiv w:val="1"/>
      <w:marLeft w:val="0"/>
      <w:marRight w:val="0"/>
      <w:marTop w:val="0"/>
      <w:marBottom w:val="0"/>
      <w:divBdr>
        <w:top w:val="none" w:sz="0" w:space="0" w:color="auto"/>
        <w:left w:val="none" w:sz="0" w:space="0" w:color="auto"/>
        <w:bottom w:val="none" w:sz="0" w:space="0" w:color="auto"/>
        <w:right w:val="none" w:sz="0" w:space="0" w:color="auto"/>
      </w:divBdr>
    </w:div>
    <w:div w:id="1690906673">
      <w:bodyDiv w:val="1"/>
      <w:marLeft w:val="0"/>
      <w:marRight w:val="0"/>
      <w:marTop w:val="0"/>
      <w:marBottom w:val="0"/>
      <w:divBdr>
        <w:top w:val="none" w:sz="0" w:space="0" w:color="auto"/>
        <w:left w:val="none" w:sz="0" w:space="0" w:color="auto"/>
        <w:bottom w:val="none" w:sz="0" w:space="0" w:color="auto"/>
        <w:right w:val="none" w:sz="0" w:space="0" w:color="auto"/>
      </w:divBdr>
    </w:div>
    <w:div w:id="1718315215">
      <w:bodyDiv w:val="1"/>
      <w:marLeft w:val="0"/>
      <w:marRight w:val="0"/>
      <w:marTop w:val="0"/>
      <w:marBottom w:val="0"/>
      <w:divBdr>
        <w:top w:val="none" w:sz="0" w:space="0" w:color="auto"/>
        <w:left w:val="none" w:sz="0" w:space="0" w:color="auto"/>
        <w:bottom w:val="none" w:sz="0" w:space="0" w:color="auto"/>
        <w:right w:val="none" w:sz="0" w:space="0" w:color="auto"/>
      </w:divBdr>
    </w:div>
    <w:div w:id="1724795547">
      <w:bodyDiv w:val="1"/>
      <w:marLeft w:val="0"/>
      <w:marRight w:val="0"/>
      <w:marTop w:val="0"/>
      <w:marBottom w:val="0"/>
      <w:divBdr>
        <w:top w:val="none" w:sz="0" w:space="0" w:color="auto"/>
        <w:left w:val="none" w:sz="0" w:space="0" w:color="auto"/>
        <w:bottom w:val="none" w:sz="0" w:space="0" w:color="auto"/>
        <w:right w:val="none" w:sz="0" w:space="0" w:color="auto"/>
      </w:divBdr>
    </w:div>
    <w:div w:id="1781874822">
      <w:bodyDiv w:val="1"/>
      <w:marLeft w:val="0"/>
      <w:marRight w:val="0"/>
      <w:marTop w:val="0"/>
      <w:marBottom w:val="0"/>
      <w:divBdr>
        <w:top w:val="none" w:sz="0" w:space="0" w:color="auto"/>
        <w:left w:val="none" w:sz="0" w:space="0" w:color="auto"/>
        <w:bottom w:val="none" w:sz="0" w:space="0" w:color="auto"/>
        <w:right w:val="none" w:sz="0" w:space="0" w:color="auto"/>
      </w:divBdr>
    </w:div>
    <w:div w:id="1797530728">
      <w:bodyDiv w:val="1"/>
      <w:marLeft w:val="0"/>
      <w:marRight w:val="0"/>
      <w:marTop w:val="0"/>
      <w:marBottom w:val="0"/>
      <w:divBdr>
        <w:top w:val="none" w:sz="0" w:space="0" w:color="auto"/>
        <w:left w:val="none" w:sz="0" w:space="0" w:color="auto"/>
        <w:bottom w:val="none" w:sz="0" w:space="0" w:color="auto"/>
        <w:right w:val="none" w:sz="0" w:space="0" w:color="auto"/>
      </w:divBdr>
    </w:div>
    <w:div w:id="1851488886">
      <w:bodyDiv w:val="1"/>
      <w:marLeft w:val="0"/>
      <w:marRight w:val="0"/>
      <w:marTop w:val="0"/>
      <w:marBottom w:val="0"/>
      <w:divBdr>
        <w:top w:val="none" w:sz="0" w:space="0" w:color="auto"/>
        <w:left w:val="none" w:sz="0" w:space="0" w:color="auto"/>
        <w:bottom w:val="none" w:sz="0" w:space="0" w:color="auto"/>
        <w:right w:val="none" w:sz="0" w:space="0" w:color="auto"/>
      </w:divBdr>
    </w:div>
    <w:div w:id="1856964294">
      <w:bodyDiv w:val="1"/>
      <w:marLeft w:val="0"/>
      <w:marRight w:val="0"/>
      <w:marTop w:val="0"/>
      <w:marBottom w:val="0"/>
      <w:divBdr>
        <w:top w:val="none" w:sz="0" w:space="0" w:color="auto"/>
        <w:left w:val="none" w:sz="0" w:space="0" w:color="auto"/>
        <w:bottom w:val="none" w:sz="0" w:space="0" w:color="auto"/>
        <w:right w:val="none" w:sz="0" w:space="0" w:color="auto"/>
      </w:divBdr>
      <w:divsChild>
        <w:div w:id="1831947075">
          <w:marLeft w:val="0"/>
          <w:marRight w:val="0"/>
          <w:marTop w:val="0"/>
          <w:marBottom w:val="0"/>
          <w:divBdr>
            <w:top w:val="none" w:sz="0" w:space="0" w:color="auto"/>
            <w:left w:val="none" w:sz="0" w:space="0" w:color="auto"/>
            <w:bottom w:val="none" w:sz="0" w:space="0" w:color="auto"/>
            <w:right w:val="none" w:sz="0" w:space="0" w:color="auto"/>
          </w:divBdr>
          <w:divsChild>
            <w:div w:id="1976399960">
              <w:marLeft w:val="0"/>
              <w:marRight w:val="0"/>
              <w:marTop w:val="0"/>
              <w:marBottom w:val="0"/>
              <w:divBdr>
                <w:top w:val="none" w:sz="0" w:space="0" w:color="auto"/>
                <w:left w:val="none" w:sz="0" w:space="0" w:color="auto"/>
                <w:bottom w:val="none" w:sz="0" w:space="0" w:color="auto"/>
                <w:right w:val="none" w:sz="0" w:space="0" w:color="auto"/>
              </w:divBdr>
              <w:divsChild>
                <w:div w:id="933243917">
                  <w:marLeft w:val="0"/>
                  <w:marRight w:val="0"/>
                  <w:marTop w:val="0"/>
                  <w:marBottom w:val="0"/>
                  <w:divBdr>
                    <w:top w:val="none" w:sz="0" w:space="0" w:color="auto"/>
                    <w:left w:val="none" w:sz="0" w:space="0" w:color="auto"/>
                    <w:bottom w:val="none" w:sz="0" w:space="0" w:color="auto"/>
                    <w:right w:val="none" w:sz="0" w:space="0" w:color="auto"/>
                  </w:divBdr>
                  <w:divsChild>
                    <w:div w:id="570695560">
                      <w:marLeft w:val="0"/>
                      <w:marRight w:val="0"/>
                      <w:marTop w:val="0"/>
                      <w:marBottom w:val="0"/>
                      <w:divBdr>
                        <w:top w:val="none" w:sz="0" w:space="0" w:color="auto"/>
                        <w:left w:val="none" w:sz="0" w:space="0" w:color="auto"/>
                        <w:bottom w:val="none" w:sz="0" w:space="0" w:color="auto"/>
                        <w:right w:val="none" w:sz="0" w:space="0" w:color="auto"/>
                      </w:divBdr>
                      <w:divsChild>
                        <w:div w:id="1933317412">
                          <w:marLeft w:val="0"/>
                          <w:marRight w:val="0"/>
                          <w:marTop w:val="0"/>
                          <w:marBottom w:val="0"/>
                          <w:divBdr>
                            <w:top w:val="none" w:sz="0" w:space="0" w:color="auto"/>
                            <w:left w:val="none" w:sz="0" w:space="0" w:color="auto"/>
                            <w:bottom w:val="none" w:sz="0" w:space="0" w:color="auto"/>
                            <w:right w:val="none" w:sz="0" w:space="0" w:color="auto"/>
                          </w:divBdr>
                          <w:divsChild>
                            <w:div w:id="1515726043">
                              <w:marLeft w:val="0"/>
                              <w:marRight w:val="0"/>
                              <w:marTop w:val="0"/>
                              <w:marBottom w:val="0"/>
                              <w:divBdr>
                                <w:top w:val="none" w:sz="0" w:space="0" w:color="auto"/>
                                <w:left w:val="none" w:sz="0" w:space="0" w:color="auto"/>
                                <w:bottom w:val="none" w:sz="0" w:space="0" w:color="auto"/>
                                <w:right w:val="none" w:sz="0" w:space="0" w:color="auto"/>
                              </w:divBdr>
                              <w:divsChild>
                                <w:div w:id="42756286">
                                  <w:marLeft w:val="0"/>
                                  <w:marRight w:val="0"/>
                                  <w:marTop w:val="0"/>
                                  <w:marBottom w:val="0"/>
                                  <w:divBdr>
                                    <w:top w:val="none" w:sz="0" w:space="0" w:color="auto"/>
                                    <w:left w:val="none" w:sz="0" w:space="0" w:color="auto"/>
                                    <w:bottom w:val="none" w:sz="0" w:space="0" w:color="auto"/>
                                    <w:right w:val="none" w:sz="0" w:space="0" w:color="auto"/>
                                  </w:divBdr>
                                  <w:divsChild>
                                    <w:div w:id="834764732">
                                      <w:marLeft w:val="0"/>
                                      <w:marRight w:val="0"/>
                                      <w:marTop w:val="0"/>
                                      <w:marBottom w:val="0"/>
                                      <w:divBdr>
                                        <w:top w:val="none" w:sz="0" w:space="0" w:color="auto"/>
                                        <w:left w:val="none" w:sz="0" w:space="0" w:color="auto"/>
                                        <w:bottom w:val="none" w:sz="0" w:space="0" w:color="auto"/>
                                        <w:right w:val="none" w:sz="0" w:space="0" w:color="auto"/>
                                      </w:divBdr>
                                      <w:divsChild>
                                        <w:div w:id="368453179">
                                          <w:marLeft w:val="0"/>
                                          <w:marRight w:val="0"/>
                                          <w:marTop w:val="0"/>
                                          <w:marBottom w:val="0"/>
                                          <w:divBdr>
                                            <w:top w:val="none" w:sz="0" w:space="0" w:color="auto"/>
                                            <w:left w:val="none" w:sz="0" w:space="0" w:color="auto"/>
                                            <w:bottom w:val="none" w:sz="0" w:space="0" w:color="auto"/>
                                            <w:right w:val="none" w:sz="0" w:space="0" w:color="auto"/>
                                          </w:divBdr>
                                          <w:divsChild>
                                            <w:div w:id="1494223947">
                                              <w:marLeft w:val="0"/>
                                              <w:marRight w:val="1"/>
                                              <w:marTop w:val="225"/>
                                              <w:marBottom w:val="375"/>
                                              <w:divBdr>
                                                <w:top w:val="none" w:sz="0" w:space="0" w:color="auto"/>
                                                <w:left w:val="none" w:sz="0" w:space="0" w:color="auto"/>
                                                <w:bottom w:val="none" w:sz="0" w:space="0" w:color="auto"/>
                                                <w:right w:val="none" w:sz="0" w:space="0" w:color="auto"/>
                                              </w:divBdr>
                                            </w:div>
                                            <w:div w:id="1810786964">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361040">
      <w:bodyDiv w:val="1"/>
      <w:marLeft w:val="0"/>
      <w:marRight w:val="0"/>
      <w:marTop w:val="0"/>
      <w:marBottom w:val="0"/>
      <w:divBdr>
        <w:top w:val="none" w:sz="0" w:space="0" w:color="auto"/>
        <w:left w:val="none" w:sz="0" w:space="0" w:color="auto"/>
        <w:bottom w:val="none" w:sz="0" w:space="0" w:color="auto"/>
        <w:right w:val="none" w:sz="0" w:space="0" w:color="auto"/>
      </w:divBdr>
    </w:div>
    <w:div w:id="1873227002">
      <w:bodyDiv w:val="1"/>
      <w:marLeft w:val="0"/>
      <w:marRight w:val="0"/>
      <w:marTop w:val="0"/>
      <w:marBottom w:val="0"/>
      <w:divBdr>
        <w:top w:val="none" w:sz="0" w:space="0" w:color="auto"/>
        <w:left w:val="none" w:sz="0" w:space="0" w:color="auto"/>
        <w:bottom w:val="none" w:sz="0" w:space="0" w:color="auto"/>
        <w:right w:val="none" w:sz="0" w:space="0" w:color="auto"/>
      </w:divBdr>
    </w:div>
    <w:div w:id="1878009363">
      <w:bodyDiv w:val="1"/>
      <w:marLeft w:val="0"/>
      <w:marRight w:val="0"/>
      <w:marTop w:val="0"/>
      <w:marBottom w:val="0"/>
      <w:divBdr>
        <w:top w:val="none" w:sz="0" w:space="0" w:color="auto"/>
        <w:left w:val="none" w:sz="0" w:space="0" w:color="auto"/>
        <w:bottom w:val="none" w:sz="0" w:space="0" w:color="auto"/>
        <w:right w:val="none" w:sz="0" w:space="0" w:color="auto"/>
      </w:divBdr>
    </w:div>
    <w:div w:id="1934975988">
      <w:bodyDiv w:val="1"/>
      <w:marLeft w:val="0"/>
      <w:marRight w:val="0"/>
      <w:marTop w:val="0"/>
      <w:marBottom w:val="0"/>
      <w:divBdr>
        <w:top w:val="none" w:sz="0" w:space="0" w:color="auto"/>
        <w:left w:val="none" w:sz="0" w:space="0" w:color="auto"/>
        <w:bottom w:val="none" w:sz="0" w:space="0" w:color="auto"/>
        <w:right w:val="none" w:sz="0" w:space="0" w:color="auto"/>
      </w:divBdr>
    </w:div>
    <w:div w:id="1938520199">
      <w:bodyDiv w:val="1"/>
      <w:marLeft w:val="0"/>
      <w:marRight w:val="0"/>
      <w:marTop w:val="0"/>
      <w:marBottom w:val="0"/>
      <w:divBdr>
        <w:top w:val="none" w:sz="0" w:space="0" w:color="auto"/>
        <w:left w:val="none" w:sz="0" w:space="0" w:color="auto"/>
        <w:bottom w:val="none" w:sz="0" w:space="0" w:color="auto"/>
        <w:right w:val="none" w:sz="0" w:space="0" w:color="auto"/>
      </w:divBdr>
      <w:divsChild>
        <w:div w:id="14833066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65572599">
      <w:bodyDiv w:val="1"/>
      <w:marLeft w:val="0"/>
      <w:marRight w:val="0"/>
      <w:marTop w:val="0"/>
      <w:marBottom w:val="0"/>
      <w:divBdr>
        <w:top w:val="none" w:sz="0" w:space="0" w:color="auto"/>
        <w:left w:val="none" w:sz="0" w:space="0" w:color="auto"/>
        <w:bottom w:val="none" w:sz="0" w:space="0" w:color="auto"/>
        <w:right w:val="none" w:sz="0" w:space="0" w:color="auto"/>
      </w:divBdr>
    </w:div>
    <w:div w:id="1979187251">
      <w:bodyDiv w:val="1"/>
      <w:marLeft w:val="0"/>
      <w:marRight w:val="0"/>
      <w:marTop w:val="0"/>
      <w:marBottom w:val="0"/>
      <w:divBdr>
        <w:top w:val="none" w:sz="0" w:space="0" w:color="auto"/>
        <w:left w:val="none" w:sz="0" w:space="0" w:color="auto"/>
        <w:bottom w:val="none" w:sz="0" w:space="0" w:color="auto"/>
        <w:right w:val="none" w:sz="0" w:space="0" w:color="auto"/>
      </w:divBdr>
    </w:div>
    <w:div w:id="2018385841">
      <w:bodyDiv w:val="1"/>
      <w:marLeft w:val="0"/>
      <w:marRight w:val="0"/>
      <w:marTop w:val="0"/>
      <w:marBottom w:val="0"/>
      <w:divBdr>
        <w:top w:val="none" w:sz="0" w:space="0" w:color="auto"/>
        <w:left w:val="none" w:sz="0" w:space="0" w:color="auto"/>
        <w:bottom w:val="none" w:sz="0" w:space="0" w:color="auto"/>
        <w:right w:val="none" w:sz="0" w:space="0" w:color="auto"/>
      </w:divBdr>
    </w:div>
    <w:div w:id="2026250638">
      <w:bodyDiv w:val="1"/>
      <w:marLeft w:val="0"/>
      <w:marRight w:val="0"/>
      <w:marTop w:val="0"/>
      <w:marBottom w:val="0"/>
      <w:divBdr>
        <w:top w:val="none" w:sz="0" w:space="0" w:color="auto"/>
        <w:left w:val="none" w:sz="0" w:space="0" w:color="auto"/>
        <w:bottom w:val="none" w:sz="0" w:space="0" w:color="auto"/>
        <w:right w:val="none" w:sz="0" w:space="0" w:color="auto"/>
      </w:divBdr>
    </w:div>
    <w:div w:id="2048138758">
      <w:bodyDiv w:val="1"/>
      <w:marLeft w:val="0"/>
      <w:marRight w:val="0"/>
      <w:marTop w:val="0"/>
      <w:marBottom w:val="0"/>
      <w:divBdr>
        <w:top w:val="none" w:sz="0" w:space="0" w:color="auto"/>
        <w:left w:val="none" w:sz="0" w:space="0" w:color="auto"/>
        <w:bottom w:val="none" w:sz="0" w:space="0" w:color="auto"/>
        <w:right w:val="none" w:sz="0" w:space="0" w:color="auto"/>
      </w:divBdr>
    </w:div>
    <w:div w:id="2113816373">
      <w:bodyDiv w:val="1"/>
      <w:marLeft w:val="0"/>
      <w:marRight w:val="0"/>
      <w:marTop w:val="0"/>
      <w:marBottom w:val="0"/>
      <w:divBdr>
        <w:top w:val="none" w:sz="0" w:space="0" w:color="auto"/>
        <w:left w:val="none" w:sz="0" w:space="0" w:color="auto"/>
        <w:bottom w:val="none" w:sz="0" w:space="0" w:color="auto"/>
        <w:right w:val="none" w:sz="0" w:space="0" w:color="auto"/>
      </w:divBdr>
    </w:div>
    <w:div w:id="21374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2E26-7CCD-4572-AF2D-64E0003E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47</Pages>
  <Words>17591</Words>
  <Characters>100269</Characters>
  <Application>Microsoft Office Word</Application>
  <DocSecurity>0</DocSecurity>
  <Lines>835</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Financial Regulation and Rules of Application</vt:lpstr>
      <vt:lpstr>Financial Regulation and Rules of Application</vt:lpstr>
    </vt:vector>
  </TitlesOfParts>
  <Company>European Commission</Company>
  <LinksUpToDate>false</LinksUpToDate>
  <CharactersWithSpaces>117625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 and Rules of Application</dc:title>
  <dc:creator>Author</dc:creator>
  <cp:lastModifiedBy>FLOWER Romy (OSG)</cp:lastModifiedBy>
  <cp:revision>17</cp:revision>
  <cp:lastPrinted>2021-02-09T10:36:00Z</cp:lastPrinted>
  <dcterms:created xsi:type="dcterms:W3CDTF">2021-02-05T10:43:00Z</dcterms:created>
  <dcterms:modified xsi:type="dcterms:W3CDTF">2021-02-09T10:36:00Z</dcterms:modified>
</cp:coreProperties>
</file>